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B6D7C" w14:textId="77777777" w:rsidR="00B52881" w:rsidRDefault="00000000" w:rsidP="0063087B">
      <w:pPr>
        <w:spacing w:after="0" w:line="276" w:lineRule="auto"/>
        <w:ind w:right="2"/>
        <w:jc w:val="center"/>
      </w:pPr>
      <w:r>
        <w:rPr>
          <w:rFonts w:ascii="Times New Roman" w:eastAsia="Times New Roman" w:hAnsi="Times New Roman" w:cs="Times New Roman"/>
          <w:b/>
          <w:u w:val="single" w:color="000000"/>
        </w:rPr>
        <w:t>6SSPP348 Twentieth Century Global Political Thought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4D3FC6B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038794ED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Module Convenor:</w:t>
      </w:r>
      <w:r>
        <w:rPr>
          <w:rFonts w:ascii="Times New Roman" w:eastAsia="Times New Roman" w:hAnsi="Times New Roman" w:cs="Times New Roman"/>
        </w:rPr>
        <w:t xml:space="preserve"> Professor </w:t>
      </w:r>
      <w:proofErr w:type="spellStart"/>
      <w:r>
        <w:rPr>
          <w:rFonts w:ascii="Times New Roman" w:eastAsia="Times New Roman" w:hAnsi="Times New Roman" w:cs="Times New Roman"/>
        </w:rPr>
        <w:t>Humeira</w:t>
      </w:r>
      <w:proofErr w:type="spellEnd"/>
      <w:r>
        <w:rPr>
          <w:rFonts w:ascii="Times New Roman" w:eastAsia="Times New Roman" w:hAnsi="Times New Roman" w:cs="Times New Roman"/>
        </w:rPr>
        <w:t xml:space="preserve"> Iqtidar  </w:t>
      </w:r>
    </w:p>
    <w:p w14:paraId="2428826C" w14:textId="7EBD0D5D" w:rsidR="00B52881" w:rsidRDefault="00B52881" w:rsidP="0063087B">
      <w:pPr>
        <w:spacing w:after="0" w:line="276" w:lineRule="auto"/>
      </w:pPr>
    </w:p>
    <w:p w14:paraId="412030DE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Module Aims  </w:t>
      </w:r>
    </w:p>
    <w:p w14:paraId="0AFF8101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Students in the course will:  </w:t>
      </w:r>
    </w:p>
    <w:p w14:paraId="0704BA5D" w14:textId="77777777" w:rsidR="00B52881" w:rsidRDefault="00000000" w:rsidP="0063087B">
      <w:pPr>
        <w:numPr>
          <w:ilvl w:val="0"/>
          <w:numId w:val="1"/>
        </w:numPr>
        <w:spacing w:after="0" w:line="276" w:lineRule="auto"/>
        <w:ind w:hanging="221"/>
      </w:pPr>
      <w:r>
        <w:rPr>
          <w:rFonts w:ascii="Times New Roman" w:eastAsia="Times New Roman" w:hAnsi="Times New Roman" w:cs="Times New Roman"/>
        </w:rPr>
        <w:t xml:space="preserve">Develop a nuanced understanding of the implications of Eurocentricity and limitations of existing approaches to Political Theory and Political Thought.  </w:t>
      </w:r>
    </w:p>
    <w:p w14:paraId="5B6E41B3" w14:textId="77777777" w:rsidR="00B52881" w:rsidRDefault="00000000" w:rsidP="0063087B">
      <w:pPr>
        <w:numPr>
          <w:ilvl w:val="0"/>
          <w:numId w:val="1"/>
        </w:numPr>
        <w:spacing w:after="0" w:line="276" w:lineRule="auto"/>
        <w:ind w:hanging="221"/>
      </w:pPr>
      <w:r>
        <w:rPr>
          <w:rFonts w:ascii="Times New Roman" w:eastAsia="Times New Roman" w:hAnsi="Times New Roman" w:cs="Times New Roman"/>
        </w:rPr>
        <w:t xml:space="preserve">Develop an understanding of twentieth century political thought from the Global South and Asia in particular.  </w:t>
      </w:r>
    </w:p>
    <w:p w14:paraId="2FDB478B" w14:textId="77777777" w:rsidR="00B52881" w:rsidRDefault="00000000" w:rsidP="0063087B">
      <w:pPr>
        <w:numPr>
          <w:ilvl w:val="0"/>
          <w:numId w:val="1"/>
        </w:numPr>
        <w:spacing w:after="0" w:line="276" w:lineRule="auto"/>
        <w:ind w:hanging="221"/>
      </w:pPr>
      <w:r>
        <w:rPr>
          <w:rFonts w:ascii="Times New Roman" w:eastAsia="Times New Roman" w:hAnsi="Times New Roman" w:cs="Times New Roman"/>
        </w:rPr>
        <w:t xml:space="preserve">Develop an understanding of trends across select religious traditions with a special focus on Islamic political thought.  </w:t>
      </w:r>
    </w:p>
    <w:p w14:paraId="0A547F55" w14:textId="77777777" w:rsidR="00B52881" w:rsidRDefault="00000000" w:rsidP="0063087B">
      <w:pPr>
        <w:numPr>
          <w:ilvl w:val="0"/>
          <w:numId w:val="1"/>
        </w:numPr>
        <w:spacing w:after="0" w:line="276" w:lineRule="auto"/>
        <w:ind w:hanging="221"/>
      </w:pPr>
      <w:r>
        <w:rPr>
          <w:rFonts w:ascii="Times New Roman" w:eastAsia="Times New Roman" w:hAnsi="Times New Roman" w:cs="Times New Roman"/>
        </w:rPr>
        <w:t xml:space="preserve">Develop an understanding of new methodological options in political theory.  </w:t>
      </w:r>
    </w:p>
    <w:p w14:paraId="66A59F91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7AE766A6" w14:textId="0B3CBFAB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Assessment: </w:t>
      </w:r>
      <w:r w:rsidR="0063087B">
        <w:rPr>
          <w:rFonts w:ascii="Times New Roman" w:eastAsia="Times New Roman" w:hAnsi="Times New Roman" w:cs="Times New Roman"/>
        </w:rPr>
        <w:t>The word count includes in-text references and footnotes but not the bibliography.</w:t>
      </w:r>
    </w:p>
    <w:p w14:paraId="1A59DA81" w14:textId="24A48EEC" w:rsidR="00B52881" w:rsidRDefault="0063087B" w:rsidP="0063087B">
      <w:pPr>
        <w:pStyle w:val="ListParagraph"/>
        <w:numPr>
          <w:ilvl w:val="0"/>
          <w:numId w:val="2"/>
        </w:numPr>
        <w:spacing w:after="0" w:line="276" w:lineRule="auto"/>
      </w:pPr>
      <w:r w:rsidRPr="0063087B">
        <w:rPr>
          <w:rFonts w:ascii="Times New Roman" w:hAnsi="Times New Roman" w:cs="Times New Roman"/>
          <w:color w:val="000000" w:themeColor="text1"/>
          <w:shd w:val="clear" w:color="auto" w:fill="FFFFFF"/>
        </w:rPr>
        <w:t>Focusing on any one of the primary texts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63087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critically evaluate the author’s conception of sovereignty</w:t>
      </w:r>
      <w:r w:rsidRPr="0063087B">
        <w:rPr>
          <w:rFonts w:ascii="Times New Roman" w:eastAsia="Times New Roman" w:hAnsi="Times New Roman" w:cs="Times New Roman"/>
        </w:rPr>
        <w:t xml:space="preserve">: 2000-word essay (50% of overall module mark). </w:t>
      </w:r>
    </w:p>
    <w:p w14:paraId="0420456F" w14:textId="708969B8" w:rsidR="00B52881" w:rsidRPr="0063087B" w:rsidRDefault="0063087B" w:rsidP="0063087B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color w:val="000000" w:themeColor="text1"/>
        </w:rPr>
      </w:pPr>
      <w:r w:rsidRPr="0063087B">
        <w:rPr>
          <w:rFonts w:ascii="Times New Roman" w:hAnsi="Times New Roman" w:cs="Times New Roman"/>
          <w:color w:val="000000" w:themeColor="text1"/>
          <w:shd w:val="clear" w:color="auto" w:fill="FFFFFF"/>
        </w:rPr>
        <w:t>Focusing on any of the primary texts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63087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critically evaluate the author’s conception of justice</w:t>
      </w:r>
      <w:r w:rsidRPr="0063087B">
        <w:rPr>
          <w:rFonts w:ascii="Times New Roman" w:eastAsia="Times New Roman" w:hAnsi="Times New Roman" w:cs="Times New Roman"/>
          <w:color w:val="000000" w:themeColor="text1"/>
        </w:rPr>
        <w:t xml:space="preserve">: 2000-word essay (50% of overall module mark). </w:t>
      </w:r>
    </w:p>
    <w:p w14:paraId="65145A23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58D2CE00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Programme and readings  </w:t>
      </w:r>
    </w:p>
    <w:p w14:paraId="2A35B54F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Session 1: </w:t>
      </w:r>
      <w:r>
        <w:rPr>
          <w:rFonts w:ascii="Times New Roman" w:eastAsia="Times New Roman" w:hAnsi="Times New Roman" w:cs="Times New Roman"/>
          <w:u w:val="single" w:color="000000"/>
        </w:rPr>
        <w:t>Global Political Thought or Comparative Political Theory?</w:t>
      </w:r>
      <w:r>
        <w:rPr>
          <w:rFonts w:ascii="Times New Roman" w:eastAsia="Times New Roman" w:hAnsi="Times New Roman" w:cs="Times New Roman"/>
        </w:rPr>
        <w:t xml:space="preserve"> </w:t>
      </w:r>
    </w:p>
    <w:p w14:paraId="69797356" w14:textId="77777777" w:rsidR="00B52881" w:rsidRDefault="00000000" w:rsidP="0063087B">
      <w:pPr>
        <w:pStyle w:val="Heading1"/>
        <w:spacing w:after="0" w:line="276" w:lineRule="auto"/>
        <w:ind w:left="-5"/>
      </w:pPr>
      <w:r>
        <w:t>Required Readings</w:t>
      </w:r>
      <w:r>
        <w:rPr>
          <w:u w:val="none"/>
        </w:rPr>
        <w:t xml:space="preserve">  </w:t>
      </w:r>
    </w:p>
    <w:p w14:paraId="734A89B3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Chakrabarty, Dipesh. 2000. </w:t>
      </w:r>
      <w:r>
        <w:rPr>
          <w:rFonts w:ascii="Times New Roman" w:eastAsia="Times New Roman" w:hAnsi="Times New Roman" w:cs="Times New Roman"/>
          <w:i/>
        </w:rPr>
        <w:t>Provincializing Europe: Postcolonial Thought and Historical Difference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D91819B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Princeton University Press  </w:t>
      </w:r>
    </w:p>
    <w:p w14:paraId="2225C83D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Euben, Roxanne. 1997. ‘Premodern, Antimodern or Postmodern? Islamic and Western critiques of Modernity’, </w:t>
      </w:r>
      <w:r>
        <w:rPr>
          <w:rFonts w:ascii="Times New Roman" w:eastAsia="Times New Roman" w:hAnsi="Times New Roman" w:cs="Times New Roman"/>
          <w:i/>
        </w:rPr>
        <w:t>Review of Politics</w:t>
      </w:r>
      <w:r>
        <w:rPr>
          <w:rFonts w:ascii="Times New Roman" w:eastAsia="Times New Roman" w:hAnsi="Times New Roman" w:cs="Times New Roman"/>
        </w:rPr>
        <w:t xml:space="preserve"> 49:3, 429-59  </w:t>
      </w:r>
    </w:p>
    <w:p w14:paraId="1E7F9717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Seth, Sanjay. 2009. ‘Historical Sociology and Postcolonial Theory: Two Strategies for Challenging Eurocentrism’, </w:t>
      </w:r>
      <w:r>
        <w:rPr>
          <w:rFonts w:ascii="Times New Roman" w:eastAsia="Times New Roman" w:hAnsi="Times New Roman" w:cs="Times New Roman"/>
          <w:i/>
        </w:rPr>
        <w:t>International Political Sociology</w:t>
      </w:r>
      <w:r>
        <w:rPr>
          <w:rFonts w:ascii="Times New Roman" w:eastAsia="Times New Roman" w:hAnsi="Times New Roman" w:cs="Times New Roman"/>
        </w:rPr>
        <w:t xml:space="preserve"> 3:3, 334-8.  </w:t>
      </w:r>
    </w:p>
    <w:p w14:paraId="1FD41969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Moyn, Samuel, &amp; Sartori, Andrew. 2013. “Approaches to Global Intellectual History” in S. Moyn &amp; A. Sartori (Eds.), </w:t>
      </w:r>
      <w:r>
        <w:rPr>
          <w:rFonts w:ascii="Times New Roman" w:eastAsia="Times New Roman" w:hAnsi="Times New Roman" w:cs="Times New Roman"/>
          <w:i/>
        </w:rPr>
        <w:t>Global Intellectual History</w:t>
      </w:r>
      <w:r>
        <w:rPr>
          <w:rFonts w:ascii="Times New Roman" w:eastAsia="Times New Roman" w:hAnsi="Times New Roman" w:cs="Times New Roman"/>
        </w:rPr>
        <w:t xml:space="preserve">. New York: Columbia University Press. pp. 3–30  </w:t>
      </w:r>
    </w:p>
    <w:p w14:paraId="26DF92A2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6A09213F" w14:textId="77777777" w:rsidR="00B52881" w:rsidRDefault="00000000" w:rsidP="0063087B">
      <w:pPr>
        <w:pStyle w:val="Heading1"/>
        <w:spacing w:after="0" w:line="276" w:lineRule="auto"/>
        <w:ind w:left="-5"/>
      </w:pPr>
      <w:r>
        <w:t>Additional Readings</w:t>
      </w:r>
      <w:r>
        <w:rPr>
          <w:u w:val="none"/>
        </w:rPr>
        <w:t xml:space="preserve">  </w:t>
      </w:r>
    </w:p>
    <w:p w14:paraId="7B4D6A44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March, Andrew 2009. “What is Comparative Political Theory?” Review of Politics, Vol. 71, No. 4, Fall 2009, pp. 531-565.  </w:t>
      </w:r>
    </w:p>
    <w:p w14:paraId="63F2A09F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Godrej, Farah “Response to ‘What is Comparative Political Theory?’” Review of Politics, 71 (2009), </w:t>
      </w:r>
    </w:p>
    <w:p w14:paraId="6E08DF95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567–582  </w:t>
      </w:r>
    </w:p>
    <w:p w14:paraId="65763F94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Godrej, Farah, </w:t>
      </w:r>
      <w:r>
        <w:rPr>
          <w:rFonts w:ascii="Times New Roman" w:eastAsia="Times New Roman" w:hAnsi="Times New Roman" w:cs="Times New Roman"/>
          <w:i/>
        </w:rPr>
        <w:t>Cosmopolitan Political Thought: Method, Practice</w:t>
      </w:r>
      <w:r>
        <w:rPr>
          <w:rFonts w:ascii="Times New Roman" w:eastAsia="Times New Roman" w:hAnsi="Times New Roman" w:cs="Times New Roman"/>
        </w:rPr>
        <w:t xml:space="preserve">, Discipline (New York: Oxford, 2011 </w:t>
      </w:r>
    </w:p>
    <w:p w14:paraId="0471F28D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2272C046" w14:textId="77777777" w:rsidR="00B52881" w:rsidRDefault="00000000" w:rsidP="0063087B">
      <w:pPr>
        <w:pStyle w:val="Heading1"/>
        <w:spacing w:after="0" w:line="276" w:lineRule="auto"/>
        <w:ind w:left="-5"/>
      </w:pPr>
      <w:r>
        <w:rPr>
          <w:b/>
        </w:rPr>
        <w:t>Session 2:</w:t>
      </w:r>
      <w:r>
        <w:t xml:space="preserve"> Methodological </w:t>
      </w:r>
      <w:proofErr w:type="gramStart"/>
      <w:r>
        <w:t>Innovations</w:t>
      </w:r>
      <w:r>
        <w:rPr>
          <w:u w:val="none"/>
        </w:rPr>
        <w:t xml:space="preserve">  </w:t>
      </w:r>
      <w:r>
        <w:t>Required</w:t>
      </w:r>
      <w:proofErr w:type="gramEnd"/>
      <w:r>
        <w:t xml:space="preserve"> Readings</w:t>
      </w:r>
      <w:r>
        <w:rPr>
          <w:u w:val="none"/>
        </w:rPr>
        <w:t xml:space="preserve"> </w:t>
      </w:r>
    </w:p>
    <w:p w14:paraId="274707FC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>Jenco, Leigh. 2007. "'What Does Heaven Ever Say?' A Methods-</w:t>
      </w:r>
      <w:proofErr w:type="spellStart"/>
      <w:r>
        <w:rPr>
          <w:rFonts w:ascii="Times New Roman" w:eastAsia="Times New Roman" w:hAnsi="Times New Roman" w:cs="Times New Roman"/>
        </w:rPr>
        <w:t>Centered</w:t>
      </w:r>
      <w:proofErr w:type="spellEnd"/>
      <w:r>
        <w:rPr>
          <w:rFonts w:ascii="Times New Roman" w:eastAsia="Times New Roman" w:hAnsi="Times New Roman" w:cs="Times New Roman"/>
        </w:rPr>
        <w:t xml:space="preserve"> Approach to Cross-Cultural Engagement” </w:t>
      </w:r>
      <w:r>
        <w:rPr>
          <w:rFonts w:ascii="Times New Roman" w:eastAsia="Times New Roman" w:hAnsi="Times New Roman" w:cs="Times New Roman"/>
          <w:i/>
        </w:rPr>
        <w:t>American Political Science Review</w:t>
      </w:r>
      <w:r>
        <w:rPr>
          <w:rFonts w:ascii="Times New Roman" w:eastAsia="Times New Roman" w:hAnsi="Times New Roman" w:cs="Times New Roman"/>
        </w:rPr>
        <w:t xml:space="preserve"> 101, no. 4  </w:t>
      </w:r>
    </w:p>
    <w:p w14:paraId="6B0A1E1E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Joshua Simon “Institutions, Ideologies, and Comparative Political Theory,” </w:t>
      </w:r>
      <w:r>
        <w:rPr>
          <w:rFonts w:ascii="Times New Roman" w:eastAsia="Times New Roman" w:hAnsi="Times New Roman" w:cs="Times New Roman"/>
          <w:i/>
        </w:rPr>
        <w:t>Perspectives on Politics</w:t>
      </w:r>
      <w:r>
        <w:rPr>
          <w:rFonts w:ascii="Times New Roman" w:eastAsia="Times New Roman" w:hAnsi="Times New Roman" w:cs="Times New Roman"/>
        </w:rPr>
        <w:t xml:space="preserve">. pp. 1–16- online first view.  </w:t>
      </w:r>
    </w:p>
    <w:p w14:paraId="7E32615A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Iqtidar, </w:t>
      </w:r>
      <w:proofErr w:type="spellStart"/>
      <w:r>
        <w:rPr>
          <w:rFonts w:ascii="Times New Roman" w:eastAsia="Times New Roman" w:hAnsi="Times New Roman" w:cs="Times New Roman"/>
        </w:rPr>
        <w:t>Humeira</w:t>
      </w:r>
      <w:proofErr w:type="spellEnd"/>
      <w:r>
        <w:rPr>
          <w:rFonts w:ascii="Times New Roman" w:eastAsia="Times New Roman" w:hAnsi="Times New Roman" w:cs="Times New Roman"/>
        </w:rPr>
        <w:t xml:space="preserve">. 2016. “Redefining Tradition in Political Thought”, </w:t>
      </w:r>
      <w:r>
        <w:rPr>
          <w:rFonts w:ascii="Times New Roman" w:eastAsia="Times New Roman" w:hAnsi="Times New Roman" w:cs="Times New Roman"/>
          <w:i/>
        </w:rPr>
        <w:t>European Journal of Political Theory</w:t>
      </w:r>
      <w:r>
        <w:rPr>
          <w:rFonts w:ascii="Times New Roman" w:eastAsia="Times New Roman" w:hAnsi="Times New Roman" w:cs="Times New Roman"/>
        </w:rPr>
        <w:t xml:space="preserve">, Vol. 15(4) 424–444  </w:t>
      </w:r>
    </w:p>
    <w:p w14:paraId="6DCDAEA8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06B251B4" w14:textId="77777777" w:rsidR="00B52881" w:rsidRDefault="00000000" w:rsidP="0063087B">
      <w:pPr>
        <w:pStyle w:val="Heading1"/>
        <w:spacing w:after="0" w:line="276" w:lineRule="auto"/>
        <w:ind w:left="-5"/>
      </w:pPr>
      <w:r>
        <w:t>Additional Readings</w:t>
      </w:r>
      <w:r>
        <w:rPr>
          <w:u w:val="none"/>
        </w:rPr>
        <w:t xml:space="preserve"> </w:t>
      </w:r>
    </w:p>
    <w:p w14:paraId="01F524CF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Thomas, Megan. 2010. “Orientalism and Comparative Political Theory”, </w:t>
      </w:r>
      <w:r>
        <w:rPr>
          <w:rFonts w:ascii="Times New Roman" w:eastAsia="Times New Roman" w:hAnsi="Times New Roman" w:cs="Times New Roman"/>
          <w:i/>
        </w:rPr>
        <w:t>Review of Politics</w:t>
      </w:r>
      <w:r>
        <w:rPr>
          <w:rFonts w:ascii="Times New Roman" w:eastAsia="Times New Roman" w:hAnsi="Times New Roman" w:cs="Times New Roman"/>
        </w:rPr>
        <w:t xml:space="preserve">, 72/4: 653-677  </w:t>
      </w:r>
    </w:p>
    <w:p w14:paraId="3491D871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5A292637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Session 3:</w:t>
      </w:r>
      <w:r>
        <w:rPr>
          <w:rFonts w:ascii="Times New Roman" w:eastAsia="Times New Roman" w:hAnsi="Times New Roman" w:cs="Times New Roman"/>
          <w:u w:val="single" w:color="000000"/>
        </w:rPr>
        <w:t xml:space="preserve"> Colonialism and Democracy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u w:val="single" w:color="000000"/>
        </w:rPr>
        <w:t>Required Reading</w:t>
      </w:r>
      <w:r>
        <w:rPr>
          <w:rFonts w:ascii="Times New Roman" w:eastAsia="Times New Roman" w:hAnsi="Times New Roman" w:cs="Times New Roman"/>
        </w:rPr>
        <w:t xml:space="preserve"> </w:t>
      </w:r>
    </w:p>
    <w:p w14:paraId="77AC018A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M. K. Gandhi, Hind Swaraj (1909), chapters 4-8, 13-17, conclusion </w:t>
      </w:r>
    </w:p>
    <w:p w14:paraId="1CC40B1D" w14:textId="77777777" w:rsidR="00B52881" w:rsidRDefault="00000000" w:rsidP="0063087B">
      <w:pPr>
        <w:pStyle w:val="Heading1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 </w:t>
      </w:r>
    </w:p>
    <w:p w14:paraId="27EB144E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Mehta, Uday Sing. 2010. “Gandhi on democracy, politics and the ethics of everyday life” </w:t>
      </w:r>
      <w:r>
        <w:rPr>
          <w:rFonts w:ascii="Times New Roman" w:eastAsia="Times New Roman" w:hAnsi="Times New Roman" w:cs="Times New Roman"/>
          <w:i/>
        </w:rPr>
        <w:t>Modern Intellectual History</w:t>
      </w:r>
      <w:r>
        <w:rPr>
          <w:rFonts w:ascii="Times New Roman" w:eastAsia="Times New Roman" w:hAnsi="Times New Roman" w:cs="Times New Roman"/>
        </w:rPr>
        <w:t xml:space="preserve">. 7(2), pp. 355–371  </w:t>
      </w:r>
    </w:p>
    <w:p w14:paraId="0076B3BB" w14:textId="77777777" w:rsidR="00B52881" w:rsidRDefault="00000000" w:rsidP="0063087B">
      <w:pPr>
        <w:spacing w:after="0" w:line="27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Mantena</w:t>
      </w:r>
      <w:proofErr w:type="spellEnd"/>
      <w:r>
        <w:rPr>
          <w:rFonts w:ascii="Times New Roman" w:eastAsia="Times New Roman" w:hAnsi="Times New Roman" w:cs="Times New Roman"/>
        </w:rPr>
        <w:t xml:space="preserve">, Karuna. 2012. “Another Realism: The Politics of Gandhian Non-violence” </w:t>
      </w:r>
      <w:r>
        <w:rPr>
          <w:rFonts w:ascii="Times New Roman" w:eastAsia="Times New Roman" w:hAnsi="Times New Roman" w:cs="Times New Roman"/>
          <w:i/>
        </w:rPr>
        <w:t>American Political Science Review</w:t>
      </w:r>
      <w:r>
        <w:rPr>
          <w:rFonts w:ascii="Times New Roman" w:eastAsia="Times New Roman" w:hAnsi="Times New Roman" w:cs="Times New Roman"/>
        </w:rPr>
        <w:t xml:space="preserve">, 106/2: 455-470  </w:t>
      </w:r>
    </w:p>
    <w:p w14:paraId="64D9B3AB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0ECEA3CE" w14:textId="77777777" w:rsidR="00B52881" w:rsidRDefault="00000000" w:rsidP="0063087B">
      <w:pPr>
        <w:pStyle w:val="Heading1"/>
        <w:spacing w:after="0" w:line="276" w:lineRule="auto"/>
        <w:ind w:left="-5"/>
      </w:pPr>
      <w:r>
        <w:rPr>
          <w:b/>
        </w:rPr>
        <w:t>Session 4:</w:t>
      </w:r>
      <w:r>
        <w:t xml:space="preserve"> Race and Class</w:t>
      </w:r>
      <w:r>
        <w:rPr>
          <w:u w:val="none"/>
        </w:rPr>
        <w:t xml:space="preserve"> </w:t>
      </w:r>
      <w:r>
        <w:t>Required Reading</w:t>
      </w:r>
      <w:r>
        <w:rPr>
          <w:u w:val="none"/>
        </w:rPr>
        <w:t xml:space="preserve">  </w:t>
      </w:r>
    </w:p>
    <w:p w14:paraId="286EDE5E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C.L.R James. 1963[1938]. </w:t>
      </w:r>
      <w:r>
        <w:rPr>
          <w:rFonts w:ascii="Times New Roman" w:eastAsia="Times New Roman" w:hAnsi="Times New Roman" w:cs="Times New Roman"/>
          <w:i/>
        </w:rPr>
        <w:t xml:space="preserve">The Black Jacobins: Toussaint </w:t>
      </w:r>
      <w:proofErr w:type="spellStart"/>
      <w:r>
        <w:rPr>
          <w:rFonts w:ascii="Times New Roman" w:eastAsia="Times New Roman" w:hAnsi="Times New Roman" w:cs="Times New Roman"/>
          <w:i/>
        </w:rPr>
        <w:t>L’Overture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and the San Domingo </w:t>
      </w:r>
      <w:proofErr w:type="spellStart"/>
      <w:r>
        <w:rPr>
          <w:rFonts w:ascii="Times New Roman" w:eastAsia="Times New Roman" w:hAnsi="Times New Roman" w:cs="Times New Roman"/>
          <w:i/>
        </w:rPr>
        <w:t>Revoluation</w:t>
      </w:r>
      <w:proofErr w:type="spellEnd"/>
      <w:r>
        <w:rPr>
          <w:rFonts w:ascii="Times New Roman" w:eastAsia="Times New Roman" w:hAnsi="Times New Roman" w:cs="Times New Roman"/>
        </w:rPr>
        <w:t xml:space="preserve">. Vintage Books.  </w:t>
      </w:r>
    </w:p>
    <w:p w14:paraId="40558F65" w14:textId="77777777" w:rsidR="00B52881" w:rsidRDefault="00000000" w:rsidP="0063087B">
      <w:pPr>
        <w:pStyle w:val="Heading1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 </w:t>
      </w:r>
    </w:p>
    <w:p w14:paraId="2D6AE7F7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Scott, David. 2010. “Antinomies of Slavery, Enlightenment, and Universal History”. </w:t>
      </w:r>
      <w:r>
        <w:rPr>
          <w:rFonts w:ascii="Times New Roman" w:eastAsia="Times New Roman" w:hAnsi="Times New Roman" w:cs="Times New Roman"/>
          <w:i/>
        </w:rPr>
        <w:t>Small Axe</w:t>
      </w:r>
      <w:r>
        <w:rPr>
          <w:rFonts w:ascii="Times New Roman" w:eastAsia="Times New Roman" w:hAnsi="Times New Roman" w:cs="Times New Roman"/>
        </w:rPr>
        <w:t xml:space="preserve"> 1 November, 14 (3 (33)): 152–162.  </w:t>
      </w:r>
    </w:p>
    <w:p w14:paraId="7951B323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Pitts, Jennifer. 2010. “Political Theory of Empire and Imperialism”, </w:t>
      </w:r>
      <w:r>
        <w:rPr>
          <w:rFonts w:ascii="Times New Roman" w:eastAsia="Times New Roman" w:hAnsi="Times New Roman" w:cs="Times New Roman"/>
          <w:i/>
        </w:rPr>
        <w:t>Annual Review of Political Science</w:t>
      </w:r>
      <w:r>
        <w:rPr>
          <w:rFonts w:ascii="Times New Roman" w:eastAsia="Times New Roman" w:hAnsi="Times New Roman" w:cs="Times New Roman"/>
        </w:rPr>
        <w:t xml:space="preserve">, 13, pp. 211–35  </w:t>
      </w:r>
    </w:p>
    <w:p w14:paraId="4E523FB3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446284C7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Session 5. Nationalism and Sovereignty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Required Reading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8C9C77" w14:textId="77777777" w:rsidR="00B52881" w:rsidRDefault="00000000" w:rsidP="0063087B">
      <w:pPr>
        <w:spacing w:after="0" w:line="27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Maududi</w:t>
      </w:r>
      <w:proofErr w:type="spellEnd"/>
      <w:r>
        <w:rPr>
          <w:rFonts w:ascii="Times New Roman" w:eastAsia="Times New Roman" w:hAnsi="Times New Roman" w:cs="Times New Roman"/>
        </w:rPr>
        <w:t xml:space="preserve">, Abul ‘Ala. 1941. Nationalism and India, Lahore: </w:t>
      </w:r>
      <w:proofErr w:type="spellStart"/>
      <w:r>
        <w:rPr>
          <w:rFonts w:ascii="Times New Roman" w:eastAsia="Times New Roman" w:hAnsi="Times New Roman" w:cs="Times New Roman"/>
        </w:rPr>
        <w:t>Tarjuman</w:t>
      </w:r>
      <w:proofErr w:type="spellEnd"/>
      <w:r>
        <w:rPr>
          <w:rFonts w:ascii="Times New Roman" w:eastAsia="Times New Roman" w:hAnsi="Times New Roman" w:cs="Times New Roman"/>
        </w:rPr>
        <w:t xml:space="preserve">-ul-Quran  </w:t>
      </w:r>
    </w:p>
    <w:p w14:paraId="375B305C" w14:textId="77777777" w:rsidR="00B52881" w:rsidRDefault="00000000" w:rsidP="0063087B">
      <w:pPr>
        <w:pStyle w:val="Heading1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 </w:t>
      </w:r>
    </w:p>
    <w:p w14:paraId="405B1CED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Zaman, Muhammad </w:t>
      </w:r>
      <w:proofErr w:type="spellStart"/>
      <w:r>
        <w:rPr>
          <w:rFonts w:ascii="Times New Roman" w:eastAsia="Times New Roman" w:hAnsi="Times New Roman" w:cs="Times New Roman"/>
        </w:rPr>
        <w:t>Qasim</w:t>
      </w:r>
      <w:proofErr w:type="spellEnd"/>
      <w:r>
        <w:rPr>
          <w:rFonts w:ascii="Times New Roman" w:eastAsia="Times New Roman" w:hAnsi="Times New Roman" w:cs="Times New Roman"/>
        </w:rPr>
        <w:t xml:space="preserve">, “The Sovereignty of God in Modern Islamic Thought.” </w:t>
      </w:r>
      <w:r>
        <w:rPr>
          <w:rFonts w:ascii="Times New Roman" w:eastAsia="Times New Roman" w:hAnsi="Times New Roman" w:cs="Times New Roman"/>
          <w:i/>
        </w:rPr>
        <w:t>Journal of the Royal Asiatic Society</w:t>
      </w:r>
      <w:r>
        <w:rPr>
          <w:rFonts w:ascii="Times New Roman" w:eastAsia="Times New Roman" w:hAnsi="Times New Roman" w:cs="Times New Roman"/>
        </w:rPr>
        <w:t xml:space="preserve"> 25, no. 3 (2015): 389–418.  </w:t>
      </w:r>
    </w:p>
    <w:p w14:paraId="02719255" w14:textId="77777777" w:rsidR="00B52881" w:rsidRDefault="00000000" w:rsidP="0063087B">
      <w:pPr>
        <w:spacing w:after="0" w:line="27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Humeira</w:t>
      </w:r>
      <w:proofErr w:type="spellEnd"/>
      <w:r>
        <w:rPr>
          <w:rFonts w:ascii="Times New Roman" w:eastAsia="Times New Roman" w:hAnsi="Times New Roman" w:cs="Times New Roman"/>
        </w:rPr>
        <w:t xml:space="preserve"> Iqtidar, “Jizya Against Nationalism: Abul Ala </w:t>
      </w:r>
      <w:proofErr w:type="spellStart"/>
      <w:r>
        <w:rPr>
          <w:rFonts w:ascii="Times New Roman" w:eastAsia="Times New Roman" w:hAnsi="Times New Roman" w:cs="Times New Roman"/>
        </w:rPr>
        <w:t>Maududi’s</w:t>
      </w:r>
      <w:proofErr w:type="spellEnd"/>
      <w:r>
        <w:rPr>
          <w:rFonts w:ascii="Times New Roman" w:eastAsia="Times New Roman" w:hAnsi="Times New Roman" w:cs="Times New Roman"/>
        </w:rPr>
        <w:t xml:space="preserve"> Attempt at Decolonizing Political Theory” </w:t>
      </w:r>
      <w:r>
        <w:rPr>
          <w:rFonts w:ascii="Times New Roman" w:eastAsia="Times New Roman" w:hAnsi="Times New Roman" w:cs="Times New Roman"/>
          <w:i/>
        </w:rPr>
        <w:t>Journal of Politics</w:t>
      </w:r>
      <w:r>
        <w:rPr>
          <w:rFonts w:ascii="Times New Roman" w:eastAsia="Times New Roman" w:hAnsi="Times New Roman" w:cs="Times New Roman"/>
        </w:rPr>
        <w:t xml:space="preserve">, 2021, 83/3: 1145-57 </w:t>
      </w:r>
    </w:p>
    <w:p w14:paraId="5A077F60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6CAE5E11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READING WEEK  </w:t>
      </w:r>
    </w:p>
    <w:p w14:paraId="785B9AFF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D562D55" w14:textId="77777777" w:rsidR="00B52881" w:rsidRDefault="00000000" w:rsidP="0063087B">
      <w:pPr>
        <w:pStyle w:val="Heading1"/>
        <w:spacing w:after="0" w:line="276" w:lineRule="auto"/>
        <w:ind w:left="-5"/>
      </w:pPr>
      <w:r>
        <w:rPr>
          <w:b/>
        </w:rPr>
        <w:t>Session 6:</w:t>
      </w:r>
      <w:r>
        <w:t xml:space="preserve"> Violence</w:t>
      </w:r>
      <w:r>
        <w:rPr>
          <w:u w:val="none"/>
        </w:rPr>
        <w:t xml:space="preserve"> </w:t>
      </w:r>
    </w:p>
    <w:p w14:paraId="1E160A18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u w:val="single" w:color="000000"/>
        </w:rPr>
        <w:t>Required Reading</w:t>
      </w:r>
      <w:r>
        <w:rPr>
          <w:rFonts w:ascii="Times New Roman" w:eastAsia="Times New Roman" w:hAnsi="Times New Roman" w:cs="Times New Roman"/>
        </w:rPr>
        <w:t xml:space="preserve"> </w:t>
      </w:r>
    </w:p>
    <w:p w14:paraId="4E8E0A11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Fanon, Franz.1968 [1961]. </w:t>
      </w:r>
      <w:r>
        <w:rPr>
          <w:rFonts w:ascii="Times New Roman" w:eastAsia="Times New Roman" w:hAnsi="Times New Roman" w:cs="Times New Roman"/>
          <w:i/>
        </w:rPr>
        <w:t>Wretched of the Earth</w:t>
      </w:r>
      <w:r>
        <w:rPr>
          <w:rFonts w:ascii="Times New Roman" w:eastAsia="Times New Roman" w:hAnsi="Times New Roman" w:cs="Times New Roman"/>
        </w:rPr>
        <w:t xml:space="preserve">. Vintage.  </w:t>
      </w:r>
    </w:p>
    <w:p w14:paraId="3A2515BA" w14:textId="77777777" w:rsidR="00B52881" w:rsidRDefault="00000000" w:rsidP="0063087B">
      <w:pPr>
        <w:pStyle w:val="Heading2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 </w:t>
      </w:r>
    </w:p>
    <w:p w14:paraId="3BBF5B75" w14:textId="77777777" w:rsidR="00B52881" w:rsidRDefault="00000000" w:rsidP="0063087B">
      <w:pPr>
        <w:spacing w:after="0" w:line="27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Shilliam</w:t>
      </w:r>
      <w:proofErr w:type="spellEnd"/>
      <w:r>
        <w:rPr>
          <w:rFonts w:ascii="Times New Roman" w:eastAsia="Times New Roman" w:hAnsi="Times New Roman" w:cs="Times New Roman"/>
        </w:rPr>
        <w:t xml:space="preserve">, Robbie. Colonial Architecture or Relatable Hinterlands? Locke, </w:t>
      </w:r>
      <w:proofErr w:type="spellStart"/>
      <w:r>
        <w:rPr>
          <w:rFonts w:ascii="Times New Roman" w:eastAsia="Times New Roman" w:hAnsi="Times New Roman" w:cs="Times New Roman"/>
        </w:rPr>
        <w:t>Nandy</w:t>
      </w:r>
      <w:proofErr w:type="spellEnd"/>
      <w:r>
        <w:rPr>
          <w:rFonts w:ascii="Times New Roman" w:eastAsia="Times New Roman" w:hAnsi="Times New Roman" w:cs="Times New Roman"/>
        </w:rPr>
        <w:t xml:space="preserve">, Fanon and the Bandung Spirit, Constellations. prepublication </w:t>
      </w:r>
    </w:p>
    <w:p w14:paraId="37247E02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Burke, Edmund. 1976. Fanon’s Wretched of the Earth, </w:t>
      </w:r>
      <w:r>
        <w:rPr>
          <w:rFonts w:ascii="Times New Roman" w:eastAsia="Times New Roman" w:hAnsi="Times New Roman" w:cs="Times New Roman"/>
          <w:i/>
        </w:rPr>
        <w:t>Daedalus</w:t>
      </w:r>
      <w:r>
        <w:rPr>
          <w:rFonts w:ascii="Times New Roman" w:eastAsia="Times New Roman" w:hAnsi="Times New Roman" w:cs="Times New Roman"/>
        </w:rPr>
        <w:t xml:space="preserve">, Winter, Vol. 105, No. 1: 127-135 Wallerstein, </w:t>
      </w:r>
      <w:proofErr w:type="spellStart"/>
      <w:r>
        <w:rPr>
          <w:rFonts w:ascii="Times New Roman" w:eastAsia="Times New Roman" w:hAnsi="Times New Roman" w:cs="Times New Roman"/>
        </w:rPr>
        <w:t>Emmanual</w:t>
      </w:r>
      <w:proofErr w:type="spellEnd"/>
      <w:r>
        <w:rPr>
          <w:rFonts w:ascii="Times New Roman" w:eastAsia="Times New Roman" w:hAnsi="Times New Roman" w:cs="Times New Roman"/>
        </w:rPr>
        <w:t xml:space="preserve">. 1970. Frantz Fanon: Reason and Violence. </w:t>
      </w:r>
      <w:r>
        <w:rPr>
          <w:rFonts w:ascii="Times New Roman" w:eastAsia="Times New Roman" w:hAnsi="Times New Roman" w:cs="Times New Roman"/>
          <w:i/>
        </w:rPr>
        <w:t>Berkeley Journal of Sociology</w:t>
      </w:r>
      <w:r>
        <w:rPr>
          <w:rFonts w:ascii="Times New Roman" w:eastAsia="Times New Roman" w:hAnsi="Times New Roman" w:cs="Times New Roman"/>
        </w:rPr>
        <w:t xml:space="preserve"> Vol. 15: 222-231 </w:t>
      </w:r>
    </w:p>
    <w:p w14:paraId="0E02D8CA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1E436A7E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Session 7:</w:t>
      </w:r>
      <w:r>
        <w:rPr>
          <w:rFonts w:ascii="Times New Roman" w:eastAsia="Times New Roman" w:hAnsi="Times New Roman" w:cs="Times New Roman"/>
          <w:u w:val="single" w:color="000000"/>
        </w:rPr>
        <w:t xml:space="preserve"> Revolution and/or </w:t>
      </w:r>
      <w:proofErr w:type="gramStart"/>
      <w:r>
        <w:rPr>
          <w:rFonts w:ascii="Times New Roman" w:eastAsia="Times New Roman" w:hAnsi="Times New Roman" w:cs="Times New Roman"/>
          <w:u w:val="single" w:color="000000"/>
        </w:rPr>
        <w:t>Reform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>Required</w:t>
      </w:r>
      <w:proofErr w:type="gramEnd"/>
      <w:r>
        <w:rPr>
          <w:rFonts w:ascii="Times New Roman" w:eastAsia="Times New Roman" w:hAnsi="Times New Roman" w:cs="Times New Roman"/>
          <w:u w:val="single" w:color="000000"/>
        </w:rPr>
        <w:t xml:space="preserve"> Reading</w:t>
      </w:r>
      <w:r>
        <w:rPr>
          <w:rFonts w:ascii="Times New Roman" w:eastAsia="Times New Roman" w:hAnsi="Times New Roman" w:cs="Times New Roman"/>
        </w:rPr>
        <w:t xml:space="preserve"> </w:t>
      </w:r>
    </w:p>
    <w:p w14:paraId="1B592497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Sayyid </w:t>
      </w:r>
      <w:proofErr w:type="spellStart"/>
      <w:r>
        <w:rPr>
          <w:rFonts w:ascii="Times New Roman" w:eastAsia="Times New Roman" w:hAnsi="Times New Roman" w:cs="Times New Roman"/>
        </w:rPr>
        <w:t>Qutb</w:t>
      </w:r>
      <w:proofErr w:type="spellEnd"/>
      <w:r>
        <w:rPr>
          <w:rFonts w:ascii="Times New Roman" w:eastAsia="Times New Roman" w:hAnsi="Times New Roman" w:cs="Times New Roman"/>
        </w:rPr>
        <w:t xml:space="preserve"> ((1964) 2005) </w:t>
      </w:r>
      <w:r>
        <w:rPr>
          <w:rFonts w:ascii="Times New Roman" w:eastAsia="Times New Roman" w:hAnsi="Times New Roman" w:cs="Times New Roman"/>
          <w:i/>
        </w:rPr>
        <w:t>Milestones</w:t>
      </w:r>
      <w:r>
        <w:rPr>
          <w:rFonts w:ascii="Times New Roman" w:eastAsia="Times New Roman" w:hAnsi="Times New Roman" w:cs="Times New Roman"/>
        </w:rPr>
        <w:t xml:space="preserve">, American Trust Publications  </w:t>
      </w:r>
    </w:p>
    <w:p w14:paraId="45DD6CE7" w14:textId="77777777" w:rsidR="00B52881" w:rsidRDefault="00000000" w:rsidP="0063087B">
      <w:pPr>
        <w:pStyle w:val="Heading2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</w:t>
      </w:r>
    </w:p>
    <w:p w14:paraId="5AA7AEA9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Andrew March, “Taking People as They Are: Islam as a 'Realistic Utopia' in the Political Theory of Sayyid </w:t>
      </w:r>
      <w:proofErr w:type="spellStart"/>
      <w:r>
        <w:rPr>
          <w:rFonts w:ascii="Times New Roman" w:eastAsia="Times New Roman" w:hAnsi="Times New Roman" w:cs="Times New Roman"/>
        </w:rPr>
        <w:t>Qutb</w:t>
      </w:r>
      <w:proofErr w:type="spellEnd"/>
      <w:r>
        <w:rPr>
          <w:rFonts w:ascii="Times New Roman" w:eastAsia="Times New Roman" w:hAnsi="Times New Roman" w:cs="Times New Roman"/>
        </w:rPr>
        <w:t xml:space="preserve">” American Political Science Review, Vol. 104, No. 1, pp. 189-207, February 2010  </w:t>
      </w:r>
    </w:p>
    <w:p w14:paraId="6DE473F1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lastRenderedPageBreak/>
        <w:t xml:space="preserve">Hallaq, Wael. 2014. </w:t>
      </w:r>
      <w:r>
        <w:rPr>
          <w:rFonts w:ascii="Times New Roman" w:eastAsia="Times New Roman" w:hAnsi="Times New Roman" w:cs="Times New Roman"/>
          <w:i/>
        </w:rPr>
        <w:t>The Impossible State: Islam, Politics and Modernity’s Moral Predicament</w:t>
      </w:r>
      <w:r>
        <w:rPr>
          <w:rFonts w:ascii="Times New Roman" w:eastAsia="Times New Roman" w:hAnsi="Times New Roman" w:cs="Times New Roman"/>
        </w:rPr>
        <w:t xml:space="preserve">. Chapter 4, The Legal, The Moral and The Political.  </w:t>
      </w:r>
    </w:p>
    <w:p w14:paraId="7040C9A0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008400AE" w14:textId="77777777" w:rsidR="00B52881" w:rsidRDefault="00000000" w:rsidP="0063087B">
      <w:pPr>
        <w:pStyle w:val="Heading1"/>
        <w:spacing w:after="0" w:line="276" w:lineRule="auto"/>
        <w:ind w:left="-5"/>
      </w:pPr>
      <w:r>
        <w:rPr>
          <w:b/>
        </w:rPr>
        <w:t xml:space="preserve">Session 8: </w:t>
      </w:r>
      <w:r>
        <w:t>Justice</w:t>
      </w:r>
      <w:r>
        <w:rPr>
          <w:u w:val="none"/>
        </w:rPr>
        <w:t xml:space="preserve">  </w:t>
      </w:r>
    </w:p>
    <w:p w14:paraId="631AC8EF" w14:textId="77777777" w:rsidR="00B52881" w:rsidRDefault="00000000" w:rsidP="0063087B">
      <w:pPr>
        <w:pStyle w:val="Heading2"/>
        <w:spacing w:after="0" w:line="276" w:lineRule="auto"/>
        <w:ind w:left="-5"/>
      </w:pPr>
      <w:r>
        <w:t>Required Reading</w:t>
      </w:r>
      <w:r>
        <w:rPr>
          <w:u w:val="none"/>
        </w:rPr>
        <w:t xml:space="preserve"> </w:t>
      </w:r>
    </w:p>
    <w:p w14:paraId="159B5BBC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Ali Shariati. 1980.  </w:t>
      </w:r>
      <w:r>
        <w:rPr>
          <w:rFonts w:ascii="Times New Roman" w:eastAsia="Times New Roman" w:hAnsi="Times New Roman" w:cs="Times New Roman"/>
          <w:i/>
        </w:rPr>
        <w:t>Marxism and other Western Fallacies: An Islamic Critique</w:t>
      </w:r>
      <w:r>
        <w:rPr>
          <w:rFonts w:ascii="Times New Roman" w:eastAsia="Times New Roman" w:hAnsi="Times New Roman" w:cs="Times New Roman"/>
        </w:rPr>
        <w:t xml:space="preserve">, trans. R. Campbell, </w:t>
      </w:r>
      <w:proofErr w:type="spellStart"/>
      <w:r>
        <w:rPr>
          <w:rFonts w:ascii="Times New Roman" w:eastAsia="Times New Roman" w:hAnsi="Times New Roman" w:cs="Times New Roman"/>
        </w:rPr>
        <w:t>Mizan</w:t>
      </w:r>
      <w:proofErr w:type="spellEnd"/>
      <w:r>
        <w:rPr>
          <w:rFonts w:ascii="Times New Roman" w:eastAsia="Times New Roman" w:hAnsi="Times New Roman" w:cs="Times New Roman"/>
        </w:rPr>
        <w:t xml:space="preserve"> Press.  </w:t>
      </w:r>
    </w:p>
    <w:p w14:paraId="041AF140" w14:textId="77777777" w:rsidR="00B52881" w:rsidRDefault="00000000" w:rsidP="0063087B">
      <w:pPr>
        <w:pStyle w:val="Heading2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</w:t>
      </w:r>
    </w:p>
    <w:p w14:paraId="18A5CF56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Bayat, Asef. 1990. </w:t>
      </w:r>
      <w:proofErr w:type="gramStart"/>
      <w:r>
        <w:rPr>
          <w:rFonts w:ascii="Times New Roman" w:eastAsia="Times New Roman" w:hAnsi="Times New Roman" w:cs="Times New Roman"/>
        </w:rPr>
        <w:t>“ Shariati</w:t>
      </w:r>
      <w:proofErr w:type="gramEnd"/>
      <w:r>
        <w:rPr>
          <w:rFonts w:ascii="Times New Roman" w:eastAsia="Times New Roman" w:hAnsi="Times New Roman" w:cs="Times New Roman"/>
        </w:rPr>
        <w:t xml:space="preserve"> and Marx: A Critique of the ‘Islamic’ Critique of Marxism” </w:t>
      </w:r>
      <w:r>
        <w:rPr>
          <w:rFonts w:ascii="Times New Roman" w:eastAsia="Times New Roman" w:hAnsi="Times New Roman" w:cs="Times New Roman"/>
          <w:i/>
        </w:rPr>
        <w:t>Alif: Journal of Comparative Poetics</w:t>
      </w:r>
      <w:r>
        <w:rPr>
          <w:rFonts w:ascii="Times New Roman" w:eastAsia="Times New Roman" w:hAnsi="Times New Roman" w:cs="Times New Roman"/>
        </w:rPr>
        <w:t xml:space="preserve">, No. 10, Marxism and the Critical Discourse / 19-41 </w:t>
      </w:r>
    </w:p>
    <w:p w14:paraId="2C0FDABA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>Sadeghi-</w:t>
      </w:r>
      <w:proofErr w:type="spellStart"/>
      <w:r>
        <w:rPr>
          <w:rFonts w:ascii="Times New Roman" w:eastAsia="Times New Roman" w:hAnsi="Times New Roman" w:cs="Times New Roman"/>
        </w:rPr>
        <w:t>Bourjerdi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Eskander</w:t>
      </w:r>
      <w:proofErr w:type="spellEnd"/>
      <w:r>
        <w:rPr>
          <w:rFonts w:ascii="Times New Roman" w:eastAsia="Times New Roman" w:hAnsi="Times New Roman" w:cs="Times New Roman"/>
        </w:rPr>
        <w:t>. 2020. “Shariati, Anti-Capitalism, and the Promise of the “Third World”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>Philosophy and Global Affairs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first view </w:t>
      </w:r>
    </w:p>
    <w:p w14:paraId="7746EC28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6DEAB85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Session 9</w:t>
      </w:r>
      <w:r>
        <w:rPr>
          <w:rFonts w:ascii="Times New Roman" w:eastAsia="Times New Roman" w:hAnsi="Times New Roman" w:cs="Times New Roman"/>
          <w:u w:val="single" w:color="000000"/>
        </w:rPr>
        <w:t xml:space="preserve"> Political Economy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Required Reading</w:t>
      </w:r>
      <w:r>
        <w:rPr>
          <w:rFonts w:ascii="Times New Roman" w:eastAsia="Times New Roman" w:hAnsi="Times New Roman" w:cs="Times New Roman"/>
        </w:rPr>
        <w:t xml:space="preserve"> </w:t>
      </w:r>
    </w:p>
    <w:p w14:paraId="57670A39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Kwame Nkrumah (1970) </w:t>
      </w:r>
      <w:r>
        <w:rPr>
          <w:rFonts w:ascii="Times New Roman" w:eastAsia="Times New Roman" w:hAnsi="Times New Roman" w:cs="Times New Roman"/>
          <w:i/>
        </w:rPr>
        <w:t>Africa Must Unite</w:t>
      </w:r>
      <w:r>
        <w:rPr>
          <w:rFonts w:ascii="Times New Roman" w:eastAsia="Times New Roman" w:hAnsi="Times New Roman" w:cs="Times New Roman"/>
        </w:rPr>
        <w:t xml:space="preserve">, New York: International Publishers.  </w:t>
      </w:r>
    </w:p>
    <w:p w14:paraId="26FFFEC1" w14:textId="77777777" w:rsidR="00B52881" w:rsidRDefault="00000000" w:rsidP="0063087B">
      <w:pPr>
        <w:pStyle w:val="Heading2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</w:t>
      </w:r>
    </w:p>
    <w:p w14:paraId="45DD07FB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James, Leslie. Blood Brothers: Colonialism and Fascism as Relations in the Interwar Caribbean and West Africa, </w:t>
      </w:r>
      <w:r>
        <w:rPr>
          <w:rFonts w:ascii="Times New Roman" w:eastAsia="Times New Roman" w:hAnsi="Times New Roman" w:cs="Times New Roman"/>
          <w:i/>
        </w:rPr>
        <w:t>The American Historical Review</w:t>
      </w:r>
      <w:r>
        <w:rPr>
          <w:rFonts w:ascii="Times New Roman" w:eastAsia="Times New Roman" w:hAnsi="Times New Roman" w:cs="Times New Roman"/>
        </w:rPr>
        <w:t xml:space="preserve">, Volume 127, Issue 2, June 2022, Pages 634–663 </w:t>
      </w:r>
    </w:p>
    <w:p w14:paraId="4B88082B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3CAE273F" w14:textId="77777777" w:rsidR="00B52881" w:rsidRDefault="00000000" w:rsidP="0063087B">
      <w:pPr>
        <w:pStyle w:val="Heading2"/>
        <w:spacing w:after="0" w:line="276" w:lineRule="auto"/>
        <w:ind w:left="-5"/>
      </w:pPr>
      <w:r>
        <w:rPr>
          <w:b/>
        </w:rPr>
        <w:t>Session 10:</w:t>
      </w:r>
      <w:r>
        <w:t xml:space="preserve"> Mobilization</w:t>
      </w:r>
      <w:r>
        <w:rPr>
          <w:u w:val="none"/>
        </w:rPr>
        <w:t xml:space="preserve">  </w:t>
      </w:r>
    </w:p>
    <w:p w14:paraId="00247CA0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Required Reading </w:t>
      </w:r>
    </w:p>
    <w:p w14:paraId="12CDA659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Mao Zedong. 1930. Oppose book worship </w:t>
      </w:r>
      <w:hyperlink r:id="rId5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https://www.marxists.org/reference/archive/mao/selected</w:t>
        </w:r>
      </w:hyperlink>
      <w:hyperlink r:id="rId6"/>
      <w:hyperlink r:id="rId7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works/volume</w:t>
        </w:r>
      </w:hyperlink>
      <w:hyperlink r:id="rId8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-</w:t>
        </w:r>
      </w:hyperlink>
      <w:hyperlink r:id="rId9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6/mswv6_11.htm</w:t>
        </w:r>
      </w:hyperlink>
      <w:hyperlink r:id="rId10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14:paraId="76735BDA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-1937. On Practice  </w:t>
      </w:r>
    </w:p>
    <w:p w14:paraId="4297B941" w14:textId="77777777" w:rsidR="00B52881" w:rsidRDefault="00000000" w:rsidP="0063087B">
      <w:pPr>
        <w:spacing w:after="0" w:line="276" w:lineRule="auto"/>
        <w:ind w:left="-5" w:hanging="10"/>
      </w:pPr>
      <w:hyperlink r:id="rId11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https://www.marxists.org/reference/archive/mao/selected</w:t>
        </w:r>
      </w:hyperlink>
      <w:hyperlink r:id="rId12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-</w:t>
        </w:r>
      </w:hyperlink>
      <w:hyperlink r:id="rId13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works/volume</w:t>
        </w:r>
      </w:hyperlink>
      <w:hyperlink r:id="rId14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-</w:t>
        </w:r>
      </w:hyperlink>
      <w:hyperlink r:id="rId15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1/mswv1_16.htm</w:t>
        </w:r>
      </w:hyperlink>
      <w:hyperlink r:id="rId16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14:paraId="51AAD6A4" w14:textId="77777777" w:rsidR="00B52881" w:rsidRDefault="00000000" w:rsidP="0063087B">
      <w:pPr>
        <w:spacing w:after="0" w:line="276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-1937 On Contradiction  </w:t>
      </w:r>
    </w:p>
    <w:p w14:paraId="21F93E3A" w14:textId="77777777" w:rsidR="00B52881" w:rsidRDefault="00000000" w:rsidP="0063087B">
      <w:pPr>
        <w:spacing w:after="0" w:line="276" w:lineRule="auto"/>
        <w:ind w:left="-5" w:hanging="10"/>
      </w:pPr>
      <w:hyperlink r:id="rId17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https://www.marxists.org/reference/archive/mao/selected</w:t>
        </w:r>
      </w:hyperlink>
      <w:hyperlink r:id="rId18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-</w:t>
        </w:r>
      </w:hyperlink>
      <w:hyperlink r:id="rId19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works/volume</w:t>
        </w:r>
      </w:hyperlink>
      <w:hyperlink r:id="rId20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-</w:t>
        </w:r>
      </w:hyperlink>
      <w:hyperlink r:id="rId21">
        <w:r>
          <w:rPr>
            <w:rFonts w:ascii="Times New Roman" w:eastAsia="Times New Roman" w:hAnsi="Times New Roman" w:cs="Times New Roman"/>
            <w:color w:val="0462C1"/>
            <w:u w:val="single" w:color="0462C1"/>
          </w:rPr>
          <w:t>1/mswv1_17.htm</w:t>
        </w:r>
      </w:hyperlink>
      <w:hyperlink r:id="rId22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14:paraId="71D4F914" w14:textId="77777777" w:rsidR="00B52881" w:rsidRDefault="00000000" w:rsidP="0063087B">
      <w:pPr>
        <w:pStyle w:val="Heading2"/>
        <w:spacing w:after="0" w:line="276" w:lineRule="auto"/>
        <w:ind w:left="-5"/>
      </w:pPr>
      <w:r>
        <w:t>Additional Reading</w:t>
      </w:r>
      <w:r>
        <w:rPr>
          <w:u w:val="none"/>
        </w:rPr>
        <w:t xml:space="preserve"> </w:t>
      </w:r>
    </w:p>
    <w:p w14:paraId="12647572" w14:textId="77777777" w:rsidR="00B52881" w:rsidRDefault="00000000" w:rsidP="0063087B">
      <w:pPr>
        <w:spacing w:after="0" w:line="27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</w:rPr>
        <w:t>Badiou</w:t>
      </w:r>
      <w:proofErr w:type="spellEnd"/>
      <w:r>
        <w:rPr>
          <w:rFonts w:ascii="Times New Roman" w:eastAsia="Times New Roman" w:hAnsi="Times New Roman" w:cs="Times New Roman"/>
        </w:rPr>
        <w:t xml:space="preserve">, Alain. 2005. “The Cultural Revolution: The Last Revolution?” (Translated by Bruno </w:t>
      </w:r>
      <w:proofErr w:type="spellStart"/>
      <w:r>
        <w:rPr>
          <w:rFonts w:ascii="Times New Roman" w:eastAsia="Times New Roman" w:hAnsi="Times New Roman" w:cs="Times New Roman"/>
        </w:rPr>
        <w:t>Bosteels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i/>
        </w:rPr>
        <w:t>Positions</w:t>
      </w:r>
      <w:r>
        <w:rPr>
          <w:rFonts w:ascii="Times New Roman" w:eastAsia="Times New Roman" w:hAnsi="Times New Roman" w:cs="Times New Roman"/>
        </w:rPr>
        <w:t xml:space="preserve">, 13/3, Winter: 481-514 </w:t>
      </w:r>
    </w:p>
    <w:p w14:paraId="32FA4F96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47CBF7AC" w14:textId="77777777" w:rsidR="00B52881" w:rsidRDefault="00000000" w:rsidP="0063087B">
      <w:pPr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93D25AA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78F9F026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464D1F88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61F024C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5926927B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00AE16F4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41EB8DE1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3E66AB04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4F9A2564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7CF5FDAE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3FBCEF50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793751F2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42603BB8" w14:textId="77777777" w:rsidR="009A5B1A" w:rsidRDefault="009A5B1A" w:rsidP="0063087B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51B8FD8" w14:textId="77777777" w:rsidR="009A5B1A" w:rsidRDefault="009A5B1A" w:rsidP="0063087B">
      <w:pPr>
        <w:spacing w:after="0" w:line="276" w:lineRule="auto"/>
      </w:pPr>
    </w:p>
    <w:p w14:paraId="76E95494" w14:textId="77777777" w:rsidR="00B52881" w:rsidRDefault="00000000" w:rsidP="0063087B">
      <w:pPr>
        <w:spacing w:after="0" w:line="276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p w14:paraId="48CFD101" w14:textId="77777777" w:rsidR="009A5B1A" w:rsidRDefault="00000000" w:rsidP="009A5B1A">
      <w:pPr>
        <w:spacing w:after="0" w:line="240" w:lineRule="auto"/>
        <w:rPr>
          <w:rFonts w:ascii="Trebuchet MS" w:eastAsia="Times New Roman" w:hAnsi="Trebuchet MS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 w:rsidR="009A5B1A" w:rsidRPr="00A50B90">
        <w:rPr>
          <w:rFonts w:ascii="Trebuchet MS" w:eastAsia="Times New Roman" w:hAnsi="Trebuchet MS" w:cs="Times New Roman"/>
          <w:b/>
          <w:bCs/>
          <w:sz w:val="20"/>
          <w:szCs w:val="20"/>
        </w:rPr>
        <w:t>Module Specific Marking Criteria</w:t>
      </w:r>
    </w:p>
    <w:p w14:paraId="6791E4BC" w14:textId="77777777" w:rsidR="009A5B1A" w:rsidRPr="00A50B90" w:rsidRDefault="009A5B1A" w:rsidP="009A5B1A">
      <w:pPr>
        <w:spacing w:after="0" w:line="240" w:lineRule="auto"/>
        <w:rPr>
          <w:rFonts w:ascii="Trebuchet MS" w:eastAsia="Times New Roman" w:hAnsi="Trebuchet MS" w:cs="Times New Roman"/>
          <w:b/>
          <w:bCs/>
          <w:sz w:val="20"/>
          <w:szCs w:val="20"/>
        </w:rPr>
      </w:pPr>
      <w:r>
        <w:rPr>
          <w:rFonts w:ascii="Trebuchet MS" w:eastAsia="Times New Roman" w:hAnsi="Trebuchet MS" w:cs="Times New Roman"/>
          <w:b/>
          <w:bCs/>
          <w:sz w:val="20"/>
          <w:szCs w:val="20"/>
        </w:rPr>
        <w:t>Comparative Political Theory</w:t>
      </w:r>
    </w:p>
    <w:p w14:paraId="6300E42D" w14:textId="77777777" w:rsidR="009A5B1A" w:rsidRPr="00A50B90" w:rsidRDefault="009A5B1A" w:rsidP="009A5B1A">
      <w:pPr>
        <w:spacing w:after="0" w:line="240" w:lineRule="auto"/>
        <w:rPr>
          <w:rFonts w:ascii="Trebuchet MS" w:eastAsia="Times New Roman" w:hAnsi="Trebuchet MS" w:cs="Times New Roman"/>
          <w:b/>
          <w:bCs/>
          <w:sz w:val="20"/>
          <w:szCs w:val="20"/>
        </w:rPr>
      </w:pPr>
    </w:p>
    <w:p w14:paraId="343E710F" w14:textId="77777777" w:rsidR="009A5B1A" w:rsidRDefault="009A5B1A" w:rsidP="009A5B1A">
      <w:pPr>
        <w:spacing w:after="0" w:line="240" w:lineRule="auto"/>
        <w:rPr>
          <w:rFonts w:ascii="Trebuchet MS" w:eastAsia="Times New Roman" w:hAnsi="Trebuchet MS" w:cs="Times New Roman"/>
          <w:b/>
          <w:bCs/>
          <w:sz w:val="20"/>
          <w:szCs w:val="20"/>
        </w:rPr>
      </w:pPr>
    </w:p>
    <w:p w14:paraId="5A8416B4" w14:textId="77777777" w:rsidR="009A5B1A" w:rsidRPr="00A50B90" w:rsidRDefault="009A5B1A" w:rsidP="009A5B1A">
      <w:pPr>
        <w:spacing w:after="0" w:line="240" w:lineRule="auto"/>
        <w:rPr>
          <w:rFonts w:ascii="Trebuchet MS" w:eastAsia="Times New Roman" w:hAnsi="Trebuchet MS" w:cs="Times New Roman"/>
          <w:sz w:val="20"/>
          <w:szCs w:val="20"/>
        </w:rPr>
      </w:pPr>
      <w:r>
        <w:rPr>
          <w:rFonts w:ascii="Trebuchet MS" w:eastAsia="Times New Roman" w:hAnsi="Trebuchet MS" w:cs="Times New Roman"/>
          <w:b/>
          <w:bCs/>
          <w:sz w:val="20"/>
          <w:szCs w:val="20"/>
        </w:rPr>
        <w:t xml:space="preserve">Building on </w:t>
      </w:r>
      <w:r w:rsidRPr="00A50B90">
        <w:rPr>
          <w:rFonts w:ascii="Trebuchet MS" w:eastAsia="Times New Roman" w:hAnsi="Trebuchet MS" w:cs="Times New Roman"/>
          <w:sz w:val="20"/>
          <w:szCs w:val="20"/>
        </w:rPr>
        <w:t xml:space="preserve">the DPE marking criteria, and the general KCL marking criteria, this module </w:t>
      </w:r>
      <w:r>
        <w:rPr>
          <w:rFonts w:ascii="Trebuchet MS" w:eastAsia="Times New Roman" w:hAnsi="Trebuchet MS" w:cs="Times New Roman"/>
          <w:sz w:val="20"/>
          <w:szCs w:val="20"/>
        </w:rPr>
        <w:t>requires your essays to demonstrate the following</w:t>
      </w:r>
      <w:r w:rsidRPr="00A50B90">
        <w:rPr>
          <w:rFonts w:ascii="Trebuchet MS" w:eastAsia="Times New Roman" w:hAnsi="Trebuchet MS" w:cs="Times New Roman"/>
          <w:sz w:val="20"/>
          <w:szCs w:val="20"/>
        </w:rPr>
        <w:t>:</w:t>
      </w:r>
    </w:p>
    <w:p w14:paraId="1867D175" w14:textId="77777777" w:rsidR="009A5B1A" w:rsidRDefault="009A5B1A" w:rsidP="009A5B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0"/>
          <w:szCs w:val="20"/>
        </w:rPr>
      </w:pPr>
      <w:r w:rsidRPr="005B4A99">
        <w:rPr>
          <w:rFonts w:ascii="Trebuchet MS" w:eastAsia="Times New Roman" w:hAnsi="Trebuchet MS" w:cs="Times New Roman"/>
          <w:sz w:val="20"/>
          <w:szCs w:val="20"/>
        </w:rPr>
        <w:t xml:space="preserve">Thorough engagement with the required readings. You are very welcome to expand to further readings suggested or to other material, but not at the expense of the required reading. </w:t>
      </w:r>
    </w:p>
    <w:p w14:paraId="61DB35B7" w14:textId="77777777" w:rsidR="009A5B1A" w:rsidRPr="005B4A99" w:rsidRDefault="009A5B1A" w:rsidP="009A5B1A">
      <w:pPr>
        <w:spacing w:before="100" w:beforeAutospacing="1" w:after="100" w:afterAutospacing="1" w:line="240" w:lineRule="auto"/>
        <w:ind w:left="720"/>
        <w:rPr>
          <w:rFonts w:ascii="Trebuchet MS" w:eastAsia="Times New Roman" w:hAnsi="Trebuchet MS" w:cs="Times New Roman"/>
          <w:sz w:val="20"/>
          <w:szCs w:val="20"/>
        </w:rPr>
      </w:pPr>
    </w:p>
    <w:p w14:paraId="31A8A0DF" w14:textId="77777777" w:rsidR="009A5B1A" w:rsidRDefault="009A5B1A" w:rsidP="009A5B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0"/>
          <w:szCs w:val="20"/>
        </w:rPr>
      </w:pPr>
      <w:r>
        <w:rPr>
          <w:rFonts w:ascii="Trebuchet MS" w:eastAsia="Times New Roman" w:hAnsi="Trebuchet MS" w:cs="Times New Roman"/>
          <w:sz w:val="20"/>
          <w:szCs w:val="20"/>
        </w:rPr>
        <w:t xml:space="preserve">A clear engagement with the essay question rather than other issues discussed in lectures or readings. The essay question was not ‘answered’ in any one lecture. </w:t>
      </w:r>
    </w:p>
    <w:p w14:paraId="2D305A5D" w14:textId="77777777" w:rsidR="009A5B1A" w:rsidRPr="00A50B90" w:rsidRDefault="009A5B1A" w:rsidP="009A5B1A">
      <w:pPr>
        <w:spacing w:before="100" w:beforeAutospacing="1" w:after="100" w:afterAutospacing="1" w:line="240" w:lineRule="auto"/>
      </w:pPr>
    </w:p>
    <w:p w14:paraId="1FED6B33" w14:textId="241061C6" w:rsidR="00B52881" w:rsidRDefault="009A5B1A" w:rsidP="009A5B1A">
      <w:pPr>
        <w:numPr>
          <w:ilvl w:val="0"/>
          <w:numId w:val="3"/>
        </w:numPr>
        <w:spacing w:before="100" w:beforeAutospacing="1" w:after="100" w:afterAutospacing="1" w:line="240" w:lineRule="auto"/>
        <w:sectPr w:rsidR="00B52881">
          <w:pgSz w:w="11906" w:h="16838"/>
          <w:pgMar w:top="1450" w:right="1439" w:bottom="1618" w:left="1440" w:header="720" w:footer="720" w:gutter="0"/>
          <w:cols w:space="720"/>
        </w:sectPr>
      </w:pPr>
      <w:r w:rsidRPr="00A50B90">
        <w:rPr>
          <w:rFonts w:ascii="Trebuchet MS" w:eastAsia="Times New Roman" w:hAnsi="Trebuchet MS" w:cs="Times New Roman"/>
          <w:sz w:val="20"/>
          <w:szCs w:val="20"/>
        </w:rPr>
        <w:t xml:space="preserve">As discussed in classes as well, there is no right or wrong answer. There is no requirement to claim a ‘best’ theory status for </w:t>
      </w:r>
      <w:r>
        <w:rPr>
          <w:rFonts w:ascii="Trebuchet MS" w:eastAsia="Times New Roman" w:hAnsi="Trebuchet MS" w:cs="Times New Roman"/>
          <w:sz w:val="20"/>
          <w:szCs w:val="20"/>
        </w:rPr>
        <w:t xml:space="preserve">any </w:t>
      </w:r>
      <w:proofErr w:type="gramStart"/>
      <w:r>
        <w:rPr>
          <w:rFonts w:ascii="Trebuchet MS" w:eastAsia="Times New Roman" w:hAnsi="Trebuchet MS" w:cs="Times New Roman"/>
          <w:sz w:val="20"/>
          <w:szCs w:val="20"/>
        </w:rPr>
        <w:t>particular writer</w:t>
      </w:r>
      <w:proofErr w:type="gramEnd"/>
      <w:r>
        <w:rPr>
          <w:rFonts w:ascii="Trebuchet MS" w:eastAsia="Times New Roman" w:hAnsi="Trebuchet MS" w:cs="Times New Roman"/>
          <w:sz w:val="20"/>
          <w:szCs w:val="20"/>
        </w:rPr>
        <w:t xml:space="preserve"> or tradition of thought, </w:t>
      </w:r>
      <w:r w:rsidRPr="00A50B90">
        <w:rPr>
          <w:rFonts w:ascii="Trebuchet MS" w:eastAsia="Times New Roman" w:hAnsi="Trebuchet MS" w:cs="Times New Roman"/>
          <w:sz w:val="20"/>
          <w:szCs w:val="20"/>
        </w:rPr>
        <w:t>and there is no expectation that you will ag</w:t>
      </w:r>
      <w:r>
        <w:rPr>
          <w:rFonts w:ascii="Trebuchet MS" w:eastAsia="Times New Roman" w:hAnsi="Trebuchet MS" w:cs="Times New Roman"/>
          <w:sz w:val="20"/>
          <w:szCs w:val="20"/>
        </w:rPr>
        <w:t>ree with the authors and their writings on the required reading list. In fact, as I have mentioned in the lectures, I don’t agree with many of the authors I have included in the reading list. However, there is an expectation that you will give serious consideration to their ideas and have clear arguments about why they are not convincing</w:t>
      </w:r>
      <w:r>
        <w:rPr>
          <w:rFonts w:ascii="Trebuchet MS" w:eastAsia="Times New Roman" w:hAnsi="Trebuchet MS" w:cs="Times New Roman"/>
          <w:sz w:val="20"/>
          <w:szCs w:val="20"/>
        </w:rPr>
        <w:t>.</w:t>
      </w:r>
    </w:p>
    <w:p w14:paraId="72363919" w14:textId="77777777" w:rsidR="00B52881" w:rsidRDefault="00B52881" w:rsidP="0063087B">
      <w:pPr>
        <w:spacing w:after="0" w:line="276" w:lineRule="auto"/>
      </w:pPr>
    </w:p>
    <w:sectPr w:rsidR="00B52881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37AA"/>
    <w:multiLevelType w:val="hybridMultilevel"/>
    <w:tmpl w:val="0716135C"/>
    <w:lvl w:ilvl="0" w:tplc="1798A4F0">
      <w:start w:val="2000"/>
      <w:numFmt w:val="bullet"/>
      <w:lvlText w:val="-"/>
      <w:lvlJc w:val="left"/>
      <w:pPr>
        <w:ind w:left="345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3E9A50F1"/>
    <w:multiLevelType w:val="hybridMultilevel"/>
    <w:tmpl w:val="E8FE0A76"/>
    <w:lvl w:ilvl="0" w:tplc="9552DEC4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8CB6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9A4E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F6A9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4244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E828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6C6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1410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278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C05CED"/>
    <w:multiLevelType w:val="multilevel"/>
    <w:tmpl w:val="8A7E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120073">
    <w:abstractNumId w:val="1"/>
  </w:num>
  <w:num w:numId="2" w16cid:durableId="266356190">
    <w:abstractNumId w:val="0"/>
  </w:num>
  <w:num w:numId="3" w16cid:durableId="1391995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81"/>
    <w:rsid w:val="0063087B"/>
    <w:rsid w:val="009A5B1A"/>
    <w:rsid w:val="00B5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0DC4C"/>
  <w15:docId w15:val="{60E8BAF5-77A1-3740-BE68-8F6D5484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9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59" w:line="259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styleId="ListParagraph">
    <w:name w:val="List Paragraph"/>
    <w:basedOn w:val="Normal"/>
    <w:uiPriority w:val="34"/>
    <w:qFormat/>
    <w:rsid w:val="00630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xists.org/reference/archive/mao/selected-works/volume-6/mswv6_11.htm" TargetMode="External"/><Relationship Id="rId13" Type="http://schemas.openxmlformats.org/officeDocument/2006/relationships/hyperlink" Target="https://www.marxists.org/reference/archive/mao/selected-works/volume-1/mswv1_16.htm" TargetMode="External"/><Relationship Id="rId18" Type="http://schemas.openxmlformats.org/officeDocument/2006/relationships/hyperlink" Target="https://www.marxists.org/reference/archive/mao/selected-works/volume-1/mswv1_17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arxists.org/reference/archive/mao/selected-works/volume-1/mswv1_17.htm" TargetMode="External"/><Relationship Id="rId7" Type="http://schemas.openxmlformats.org/officeDocument/2006/relationships/hyperlink" Target="https://www.marxists.org/reference/archive/mao/selected-works/volume-6/mswv6_11.htm" TargetMode="External"/><Relationship Id="rId12" Type="http://schemas.openxmlformats.org/officeDocument/2006/relationships/hyperlink" Target="https://www.marxists.org/reference/archive/mao/selected-works/volume-1/mswv1_16.htm" TargetMode="External"/><Relationship Id="rId17" Type="http://schemas.openxmlformats.org/officeDocument/2006/relationships/hyperlink" Target="https://www.marxists.org/reference/archive/mao/selected-works/volume-1/mswv1_17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arxists.org/reference/archive/mao/selected-works/volume-1/mswv1_16.htm" TargetMode="External"/><Relationship Id="rId20" Type="http://schemas.openxmlformats.org/officeDocument/2006/relationships/hyperlink" Target="https://www.marxists.org/reference/archive/mao/selected-works/volume-1/mswv1_17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rxists.org/reference/archive/mao/selected-works/volume-6/mswv6_11.htm" TargetMode="External"/><Relationship Id="rId11" Type="http://schemas.openxmlformats.org/officeDocument/2006/relationships/hyperlink" Target="https://www.marxists.org/reference/archive/mao/selected-works/volume-1/mswv1_16.htm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marxists.org/reference/archive/mao/selected-works/volume-6/mswv6_11.htm" TargetMode="External"/><Relationship Id="rId15" Type="http://schemas.openxmlformats.org/officeDocument/2006/relationships/hyperlink" Target="https://www.marxists.org/reference/archive/mao/selected-works/volume-1/mswv1_16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arxists.org/reference/archive/mao/selected-works/volume-6/mswv6_11.htm" TargetMode="External"/><Relationship Id="rId19" Type="http://schemas.openxmlformats.org/officeDocument/2006/relationships/hyperlink" Target="https://www.marxists.org/reference/archive/mao/selected-works/volume-1/mswv1_17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rxists.org/reference/archive/mao/selected-works/volume-6/mswv6_11.htm" TargetMode="External"/><Relationship Id="rId14" Type="http://schemas.openxmlformats.org/officeDocument/2006/relationships/hyperlink" Target="https://www.marxists.org/reference/archive/mao/selected-works/volume-1/mswv1_16.htm" TargetMode="External"/><Relationship Id="rId22" Type="http://schemas.openxmlformats.org/officeDocument/2006/relationships/hyperlink" Target="https://www.marxists.org/reference/archive/mao/selected-works/volume-1/mswv1_1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1388</Words>
  <Characters>7915</Characters>
  <Application>Microsoft Office Word</Application>
  <DocSecurity>0</DocSecurity>
  <Lines>65</Lines>
  <Paragraphs>18</Paragraphs>
  <ScaleCrop>false</ScaleCrop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Iqtidar, Humeira</dc:creator>
  <cp:keywords/>
  <cp:lastModifiedBy>Mojahed Alahmar</cp:lastModifiedBy>
  <cp:revision>3</cp:revision>
  <dcterms:created xsi:type="dcterms:W3CDTF">2026-07-07T16:26:00Z</dcterms:created>
  <dcterms:modified xsi:type="dcterms:W3CDTF">2026-07-07T16:27:00Z</dcterms:modified>
</cp:coreProperties>
</file>