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D109129" w:rsidP="04D4BBB9" w:rsidRDefault="0D109129" w14:paraId="2A5F6AC8" w14:textId="44C47A5C">
      <w:pPr>
        <w:shd w:val="clear" w:color="auto" w:fill="262626" w:themeFill="text1" w:themeFillTint="D9"/>
        <w:spacing w:before="0" w:beforeAutospacing="off" w:after="0" w:afterAutospacing="off"/>
      </w:pPr>
      <w:r w:rsidRPr="04D4BBB9" w:rsidR="0D109129">
        <w:rPr>
          <w:rFonts w:ascii="Open Sans" w:hAnsi="Open Sans" w:eastAsia="Open Sans" w:cs="Open Sans"/>
          <w:noProof w:val="0"/>
          <w:color w:val="FFFFFF" w:themeColor="background1" w:themeTint="FF" w:themeShade="FF"/>
          <w:sz w:val="21"/>
          <w:szCs w:val="21"/>
          <w:lang w:val="en-US"/>
        </w:rPr>
        <w:t>Page</w:t>
      </w:r>
    </w:p>
    <w:p w:rsidR="0D109129" w:rsidP="04D4BBB9" w:rsidRDefault="0D109129" w14:paraId="19D17F2B" w14:textId="7E7B85B2">
      <w:pPr>
        <w:shd w:val="clear" w:color="auto" w:fill="262626" w:themeFill="text1" w:themeFillTint="D9"/>
        <w:spacing w:before="0" w:beforeAutospacing="off" w:after="0" w:afterAutospacing="off"/>
        <w:ind w:left="-15" w:right="-15"/>
      </w:pPr>
      <w:r w:rsidRPr="04D4BBB9" w:rsidR="0D109129">
        <w:rPr>
          <w:rFonts w:ascii="Open Sans" w:hAnsi="Open Sans" w:eastAsia="Open Sans" w:cs="Open Sans"/>
          <w:noProof w:val="0"/>
          <w:color w:val="FFFFFF" w:themeColor="background1" w:themeTint="FF" w:themeShade="FF"/>
          <w:sz w:val="21"/>
          <w:szCs w:val="21"/>
          <w:lang w:val="en-US"/>
        </w:rPr>
        <w:t>Page number</w:t>
      </w:r>
    </w:p>
    <w:p w:rsidR="0D109129" w:rsidP="04D4BBB9" w:rsidRDefault="0D109129" w14:paraId="66EF5EF4" w14:textId="1DF8488C">
      <w:pPr>
        <w:shd w:val="clear" w:color="auto" w:fill="262626" w:themeFill="text1" w:themeFillTint="D9"/>
        <w:spacing w:before="0" w:beforeAutospacing="off" w:after="0" w:afterAutospacing="off"/>
      </w:pPr>
      <w:r w:rsidRPr="04D4BBB9" w:rsidR="0D109129">
        <w:rPr>
          <w:rFonts w:ascii="Open Sans" w:hAnsi="Open Sans" w:eastAsia="Open Sans" w:cs="Open Sans"/>
          <w:noProof w:val="0"/>
          <w:color w:val="FFFFFF" w:themeColor="background1" w:themeTint="FF" w:themeShade="FF"/>
          <w:sz w:val="21"/>
          <w:szCs w:val="21"/>
          <w:lang w:val="en-US"/>
        </w:rPr>
        <w:t>of 11</w:t>
      </w:r>
    </w:p>
    <w:p w:rsidR="04D4BBB9" w:rsidP="04D4BBB9" w:rsidRDefault="04D4BBB9" w14:paraId="536845D1" w14:textId="7BC63555">
      <w:pPr>
        <w:shd w:val="clear" w:color="auto" w:fill="FFFFFF" w:themeFill="background1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</w:pPr>
    </w:p>
    <w:p w:rsidR="0D109129" w:rsidP="04D4BBB9" w:rsidRDefault="0D109129" w14:paraId="1EDDE237" w14:textId="5A3957DE">
      <w:pPr>
        <w:shd w:val="clear" w:color="auto" w:fill="FFFFFF" w:themeFill="background1"/>
        <w:spacing w:before="0" w:beforeAutospacing="off" w:after="0" w:afterAutospacing="off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32"/>
          <w:szCs w:val="32"/>
          <w:lang w:val="en-US"/>
        </w:rPr>
      </w:pPr>
      <w:r w:rsidRPr="04D4BBB9" w:rsidR="0D109129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262626" w:themeColor="text1" w:themeTint="D9" w:themeShade="FF"/>
          <w:sz w:val="32"/>
          <w:szCs w:val="32"/>
          <w:lang w:val="en-US"/>
        </w:rPr>
        <w:t xml:space="preserve">Example only </w:t>
      </w:r>
    </w:p>
    <w:p w:rsidR="0D109129" w:rsidP="04D4BBB9" w:rsidRDefault="0D109129" w14:paraId="585197E3" w14:textId="1AAB9558">
      <w:pPr>
        <w:shd w:val="clear" w:color="auto" w:fill="FFFFFF" w:themeFill="background1"/>
        <w:spacing w:before="0" w:beforeAutospacing="off" w:after="0" w:afterAutospacing="off"/>
      </w:pP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Carol is a 70-year-old female living with advanced stage lung cancer and Chronic obstructive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pulmonary disease (COPD), which is a progressive lung condition characterised by airflow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obstruction (NICE, 2023). She is currently facing a multitude of challenges. Carol has a poor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appetite and with a BMI of 12, she is frail and experiencing symptoms such as fatigue, anxiety,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dyspnoea or breathlessness and pain, all of which are common for palliative care cancer patients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(Yorke et al., 2023). Stemming from prolonged bed rest and adding to her discomfort, Carol’s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bottom is sore and red. A combination of her declining health, living in a mutigenerational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household, and family discord are contributing to her low mood and increased levels of anxiety.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During palliative chemotherapy, Carol suffered neutropenic sepsis, a potentially fatal complication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of anticancer treatment (NICE, 2020). Since her recovery from this, Carol has decided to stop any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further treatment and wishes to be cared for and to die at home.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In order to facilitate Carol’s wish of being transferred from the inpatient palliative care unit to her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home, two care requirements which this report will focus on are pressure ulcer prevention and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managing Carol’s symptoms of fatigue, anxiety, and breathlessness with the aim of providing her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and her family, comfort and support during her end-of-life period.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 pressure ulcer is a localised injury to the skin and underlying tissue, often over a bony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prominence, usually resulting from friction, moisture, pressure or shearing (Edsberg, 2016;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NPIAP, 2021). The National Pressure Ulcer Advisory Panel and the European Pressure Ulcer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Advisory Panel (EPUAP, 2014) state that pressure injuries can be graded in severity: category one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is a non-blanchable erythema; category two is partial thickness skin loss with exposed dermis;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category three is full thickness skin loss, and category four is full thickness skin and tissue loss.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Prevention is a crucial component of Carol’s holistic home-based palliative care (Antony &amp; Thelly,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2022). All patients are at risk of developing pressure ulcers, yet as Carol is receiving palliate care,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her vulnerability is heightened (Ferris et al., 2019; NICE, 2014). It is essential that Carol’s skin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integrity is safeguarded and the discomfort from her red and sore bottom is alleviated, as any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changes in the skin are known to be a critical indicators of early pressure injuries (Fletcher, 2019).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In order to identify her risk level and plan care appropriately, it is imperative that Carol’s risk of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pressure injuries is holistically assessed, then reassessed, and documented if there is a change in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her condition (NICE, 2014). It is essential to ensure there is shared decision-making for Carol’s</w:t>
      </w:r>
    </w:p>
    <w:p w:rsidR="0D109129" w:rsidP="04D4BBB9" w:rsidRDefault="0D109129" w14:paraId="5BA2644F" w14:textId="5EB92C66">
      <w:pPr>
        <w:shd w:val="clear" w:color="auto" w:fill="FFFFFF" w:themeFill="background1"/>
        <w:spacing w:before="0" w:beforeAutospacing="off" w:after="0" w:afterAutospacing="off"/>
      </w:pP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care plan, which must involve multidisciplinary collaboration to ensure that it is effective, flexible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and tailored to Carol’s unique needs, thereby adhering to a patient-centred approach (Health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Improvement Scotland, 2020; NICE, 2014). Key aspects of Carol’s holistic assessment are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considering intrinsic and extrinsic influences, for instance her poor nutritional level, intensifying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immobility, increasing pain, and the social dynamics within her household (NICE, 2014). The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weakness of this guideline is its failure to take into account the depth of her nurses’ knowledge of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pressure ulcer prevention and treatment; subsequently holistic assessments may be restricted by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nursing issues, such a lack of expertise and education. Although initial nurse training incorporates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basic pressure ulcer education, in order to achieve practical expertise further education is essential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(Altun &amp; Zencirci, 2011). It is crucial that Carol’s nurses’ expertise is robust and current.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To help identify Carol’s level of risk of pressure ulcers, validated tools such as the Norton scale,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Waterlow score and Braden scale can be used to support clinical judgement (Healthcare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Improvement Scotland, 2014). However, the research favouring one, and supporting their overall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efficacy in reducing the occurrence of pressure ulcers, when compared with training and clinical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judgement, is somewhat scarce (Mervis et al., 2019; Moore &amp; Patton, 2019). Furthermore, critics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claim these tools are outdated, and they fail to acknowledge the importance of staff training to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achieve optimal results (Mitchell, 2018) and that these limitations can lead to ineffective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application of preventative measures (Schoonhoven et al., 2002). Both the Royal College of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Nursing (2001) and the National Institute for Health and Care Excellence (2014) have concluded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that despite being valuable tools, they should be used as an aide memoire and must not replace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clinical judgement. Given our multicultural society, perhaps the most serious disadvantage of the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risk assessment tools is that they fail to consider Carol’s ethnicity and skin tone (Hondi, 2023)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should she be non-Caucasian. Research indicates that people with darker skin tone variances are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more prone to higher stage pressure ulcers than those with lighter skin tones (Gunowa, 2020;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Anthony et al., 2008). Given the lack of portrayal of skin tone variances in books, journals and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clinical tools, nurses may subsequently have gaps in their knowledge which could result in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difficulties in recognising non-blanchable erythema of intact skin when detecting early-stage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pressure injuries in people with darker skin tone variances as erythema may not present as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‘redness’ (Dhoonmoom et al., 2023).</w:t>
      </w:r>
    </w:p>
    <w:p w:rsidR="0D109129" w:rsidP="04D4BBB9" w:rsidRDefault="0D109129" w14:paraId="75D01FC4" w14:textId="13832BF9">
      <w:pPr>
        <w:shd w:val="clear" w:color="auto" w:fill="FFFFFF" w:themeFill="background1"/>
        <w:spacing w:before="0" w:beforeAutospacing="off" w:after="0" w:afterAutospacing="off"/>
      </w:pP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The SSKIN care bundle (Health Improvement Scotland, 2020) should be utilised in Carol’s care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as it defines and connects best practices with those of NICE (2014), as well as reducing the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variation in care methods involved in preserving her skin integrity. The SSKIN bundle includes: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surface -providing Carol with pressure redistributing devices such as a high-specification foam or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air mattress; skin – assess and monitor Carol’s pressure areas for reddening and apply barrier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cream; keep moving – Carol needs to be repositioned at least every six hours or every four hours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if classed as a high risk (NICE, 2014), glide sheets can be used to reduce the possibility of shearing;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incontinence – does not currently apply to Carol, but should be monitored for moisture lesions as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her condition changes; nutrition &amp; hydration– Carol’s status needs to be assessed using the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Malnutrition Universal Screening Tool (MUST) (NICE, 2014;2017), as the connection between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pressure ulcer prevention and healing is well recognised (Saghaleini et al., 2018). This involves a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multidisciplinary approach from healthcare, to dietitians and social services to assist with Carol’s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family dynamics (NICE, 2014). In a study focussing on home-based palliative care, Antony &amp;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Thelly (2022) point out that the inclusion of education for the patient and family members, such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as Carol’s, in contributing to her comfort, with repositioning, skin care and pressure relieving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devices will help her achieve the best possible quality of life. This is also supported by the NICE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(2014) guidelines which stress the importance of nurses improving the health literacy of patients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and families thereby giving them more control over care. Jackson et al., (2017) also highlighted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the importance of family education as he reported many pressure relieving devices provided to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patients were used incorrectly. Despite guidelines, most research on the subject has been mostly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restricted to limited data focussing on the clinical practice of prevention and management of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pressure injuries in hospitals or residential care homes rather than in a community-based setting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such as Carol’s (Guest et al., 2018).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Despite living with COPD and lung cancer, it is important that prior to Carol’s transfer, her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symptoms of fatigue, anxiety, and dyspnoea are investigated in an attempt to clarify a pattern, as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her physical symptoms are frequently associated with, or may be exacerbated by psychological,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social, emotional, and environmental factors (Health Improvement Scotland, 2023). Carol’s co-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existing subjective symptoms of fatigue, anxiety, and dyspnoea are commonplace amongst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palliative lung cancer patients (Choi and Ryu, 2018). Research suggests that these particular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symptoms form a known cluster, which indicates that a holistic assessment of Carol’s needs is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necessary; a therapeutic relationship between her and her nurses is a fundamental element of this</w:t>
      </w:r>
    </w:p>
    <w:p w:rsidR="0D109129" w:rsidP="04D4BBB9" w:rsidRDefault="0D109129" w14:paraId="6B4324FA" w14:textId="10120122">
      <w:pPr>
        <w:shd w:val="clear" w:color="auto" w:fill="FFFFFF" w:themeFill="background1"/>
        <w:spacing w:before="0" w:beforeAutospacing="off" w:after="0" w:afterAutospacing="off"/>
      </w:pP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(Yorke et al., 2015; NMC, 2018). If Carol’s symptoms are not assessed and managed correctly,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the detrimental effect of them on her quality of life and that of her family, will increase (Henson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et al., 2020). Being subjective, these symptoms can only be interpreted and reported by Carol, as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she is the one experiencing them (NHS Scotland, 2021). The NICE (2022) guidelines support this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by noting the importance of listening to and validating any concerns Carol may have; in addition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to highlighting the fact that her symptoms are closely linked, each being a component of the other.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This further emphasises the importance of a trusting relationship between Carol and her nurses, as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when they use certain tools to assess the severity of her dyspnoea and identify her care needs, such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as the Medical Research Council (MRC) Dyspnoea Scale (NICE, 2022), it is imperative that Carol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feels she can speak candidly.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With clinical assessment of Carol’s dyspnoea symptoms in particular, Dorman et al., (2007)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reported that the lack of accepted standard measurement significantly hampers clinical practice.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Moreover, in spite of there being a profusion of tools such as the modified Borg scale available to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measure dyspnoea, they do not incorporate the multidimensional elements such as anxiety and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fatigue, experienced by patients like Carol; instead focussing solely on how dyspnoea affects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functionality. The multidimensional Dyspnoea-12 questionnaire, which grades perception of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breathlessness in relation to things such as emotion, anxiety, or discomfort is more holistic, patient-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centred (Banzett &amp; Moosavi, 2017), and applicable for Carol given her current cancer prognosis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and complex family dynamics at home.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The psychological, physical and emotional weight of Carol’s situation may be intensifying her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symptoms. As dyspnoea is not Carol’s primary symptom, it is important that her symptoms are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addressed in the context of the other issues within her home setting. Symptoms may be worsened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by fear, uncertainty of her family being able to cope when she goes home, to a lack of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understanding of her health situation. To alleviate worry and confusion about Carol’s values,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beliefs and healthcare goals, it is crucial that Carol and her family receive the help of a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multidisciplinary team such as education from specialist nurses, social workers to assist with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financial matters and help facilitate with communication within her family, mental health, and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spiritual care providers (Maddocks et al., 2017). All these factors would be incorporated into the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development of Carol’s Advance Care Plan (NHS, 2022) prior to her transfer. Having this plan in</w:t>
      </w:r>
    </w:p>
    <w:p w:rsidR="0D109129" w:rsidP="04D4BBB9" w:rsidRDefault="0D109129" w14:paraId="031D3292" w14:textId="11EB167A">
      <w:pPr>
        <w:shd w:val="clear" w:color="auto" w:fill="FFFFFF" w:themeFill="background1"/>
        <w:spacing w:before="0" w:beforeAutospacing="off" w:after="0" w:afterAutospacing="off"/>
      </w:pP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place may alleviate some of Carol’s psychological and emotional distress, and in turn reduce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elements contributing to the self-reinforcing cycle of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dyspnoea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, anxiety, and fatigue.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Based on NICE (2023) guidelines, non-pharmacological interventions to manage Carol’s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symptoms should include simple cognitive approaches which explore her fears and behavioural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strategies, such as teaching mindfulness, breathing and relaxation techniques. These interventions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strongly support the NMC (2018) nursing standards of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focussing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on communication and patient-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centred care, as well as empowering Carol to actively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participate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in her symptom management.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Correspondingly,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Khamboon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&amp;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Pakanta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, (2021) concluded, when there is a strong nurse-patient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relationship, and nurses are sufficiently trained to deliver evidence-based non-pharmacological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interventions, patients such as Carol show an alleviation of the symptom cluster of fatigue,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dyspnoea, and anxiety. However, as Carol’s cancer progresses, pharmacological interventions,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such as an opioid for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dyspnoea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; anxiolytics for anxiety; stimulants for fatigue, may be necessary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for an immediate relief of Carol’s symptoms as her lung cancer progresses (NICE, 2023).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Carol’s wish to receive end-of-life care at home requires a robust and flexible care plan, involving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 multidisciplinary healthcare team including, but not limited to, palliative care specialists, social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services, community nurses, and physiotherapists, which will communicate with each other, Carol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and her family in decisions whilst ensuring she is comfortable and maintains her dignity. In order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to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optimise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the management of her symptoms, it is essential that Carol’s care plan takes into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account the influences that her environment, family dynamics and spiritual needs have on her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health. Furthermore,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open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and honest communication between Carol, her family and her healthcare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team about her care and wishes in the form of an Advanced Care Plan may help to give Carol a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sense of control, as well as alleviate anxiety and doubt as her condition advances. The involvement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of social services will help address any financial concerns and support the family’s complex living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situation. The nurse-patient relationship is vital to Carol’s care and family support, particularly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during nonpharmacological interventions. Additionally, education provided about things such as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repositioning, correct use of devices, and support services will be more readily received and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adhered to if there is a trusting relationship between Carol, her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family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and the healthcare team.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Ongoing assessment of Carol’s condition and needs is a crucial element in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optimising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her care and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quality of life.</w:t>
      </w:r>
    </w:p>
    <w:p w:rsidR="04D4BBB9" w:rsidP="04D4BBB9" w:rsidRDefault="04D4BBB9" w14:paraId="00B481E6" w14:textId="78CEC463">
      <w:pPr>
        <w:shd w:val="clear" w:color="auto" w:fill="FFFFFF" w:themeFill="background1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</w:pPr>
    </w:p>
    <w:p w:rsidR="04D4BBB9" w:rsidP="04D4BBB9" w:rsidRDefault="04D4BBB9" w14:paraId="07B0FF70" w14:textId="5146C1EA">
      <w:pPr>
        <w:shd w:val="clear" w:color="auto" w:fill="FFFFFF" w:themeFill="background1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</w:pPr>
    </w:p>
    <w:p w:rsidR="04D4BBB9" w:rsidP="04D4BBB9" w:rsidRDefault="04D4BBB9" w14:paraId="21B0EBCD" w14:textId="2C0E3FCD">
      <w:pPr>
        <w:shd w:val="clear" w:color="auto" w:fill="FFFFFF" w:themeFill="background1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</w:pPr>
    </w:p>
    <w:p w:rsidR="0D109129" w:rsidP="04D4BBB9" w:rsidRDefault="0D109129" w14:paraId="7EE13B79" w14:textId="34F39A4F">
      <w:pPr>
        <w:shd w:val="clear" w:color="auto" w:fill="FFFFFF" w:themeFill="background1"/>
        <w:spacing w:before="0" w:beforeAutospacing="off" w:after="0" w:afterAutospacing="off"/>
      </w:pP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REFERENCES</w:t>
      </w:r>
    </w:p>
    <w:p w:rsidR="0D109129" w:rsidP="04D4BBB9" w:rsidRDefault="0D109129" w14:paraId="1D89167B" w14:textId="5E64BB08">
      <w:pPr>
        <w:shd w:val="clear" w:color="auto" w:fill="FFFFFF" w:themeFill="background1"/>
        <w:spacing w:before="0" w:beforeAutospacing="off" w:after="0" w:afterAutospacing="off"/>
      </w:pP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Altun, I. and Demir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Zencirci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, A. (2011) ‘Knowledge and management of pressure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ulcers’, Advances in Skin &amp;amp; Wound Care, 24(6), pp. 262–266.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doi:10.1097/01.asw.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0000398664.74153.ce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.</w:t>
      </w:r>
    </w:p>
    <w:p w:rsidR="0D109129" w:rsidP="04D4BBB9" w:rsidRDefault="0D109129" w14:paraId="31A5C9D3" w14:textId="592498DE">
      <w:pPr>
        <w:shd w:val="clear" w:color="auto" w:fill="FFFFFF" w:themeFill="background1"/>
        <w:spacing w:before="0" w:beforeAutospacing="off" w:after="0" w:afterAutospacing="off"/>
      </w:pP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Anthony D,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Parboteeah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S, Saleh M, Papanikolaou P. Norton, Waterlow and Braden scores: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Areview of the literature and a comparison between the scores and clinical judgement. J Clin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Nurs. 2008; 17(5):646–653. Available at: </w:t>
      </w:r>
      <w:hyperlink r:id="R99fc20f420c54d38">
        <w:r w:rsidRPr="04D4BBB9" w:rsidR="0D109129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en-US"/>
          </w:rPr>
          <w:t>https://doi.org/https://doi.org/10.1111/j.1365-</w:t>
        </w:r>
        <w:r>
          <w:br/>
        </w:r>
      </w:hyperlink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2702.2007.02029.x</w:t>
      </w:r>
    </w:p>
    <w:p w:rsidR="0D109129" w:rsidP="04D4BBB9" w:rsidRDefault="0D109129" w14:paraId="0A841B00" w14:textId="066FE21D">
      <w:pPr>
        <w:shd w:val="clear" w:color="auto" w:fill="FFFFFF" w:themeFill="background1"/>
        <w:spacing w:before="0" w:beforeAutospacing="off" w:after="0" w:afterAutospacing="off"/>
      </w:pP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Antony, L. and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Thelly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, A.S. (2022) ‘Knowledge on prevention of pressure ulcers among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caregivers of patients receiving home-based palliative care’, Indian Journal of Palliative Care,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28, pp. 75–79. doi:10.25259/ijpc_84_2021.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Banzett, R.B. and Moosavi, S.H. (2017) ‘Measuring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Dyspnoea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: New Multidimensional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Instruments to match our 21st Century understanding’, European Respiratory Journal, 49(3), p.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1602473. doi:10.1183/13993003.02473-2016.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Choi, S. and Ryu, E., 2018. Effects of symptom clusters and depression on the quality of life in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patients with advanced lung cancer. European Journal of Cancer Care, 27(1), p.e12508.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Dhoonmoon, L et al. (2023). International Consensus Document: Wound care and skin tone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signs,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symptoms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and terminology for all skin tones. Wounds International. Available at:</w:t>
      </w:r>
      <w:r>
        <w:br/>
      </w:r>
      <w:hyperlink r:id="Rc3864a44bfdd43c1">
        <w:r w:rsidRPr="04D4BBB9" w:rsidR="0D109129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en-US"/>
          </w:rPr>
          <w:t>https://www.woundsinternational.com</w:t>
        </w:r>
      </w:hyperlink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[Accessed 6 February 2024]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Dorman, S., Byrne, A. and Edwards, A. (2007) ‘Which measurement scales should we use to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measure breathlessness in palliative care? A systematic review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’,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Palliative Medicine, 21(3), pp.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177–191. doi:10.1177/0269216307076398.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Edsberg LE, Black JM, Goldberg M, et al. Revised National Pressure Ulcer Advisory Panel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pressure injury staging system: Revised pressure injury staging system. J Wound Ostomy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Continence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Nurs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. 2016 Nov/Dec;43(6):585-97.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Ferris A, Price A, Harding K. Pressure ulcers in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patient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receiving palliative care: a systematic</w:t>
      </w:r>
      <w:r>
        <w:br/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review. 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>Palliat</w:t>
      </w:r>
      <w:r w:rsidRPr="04D4BBB9" w:rsidR="0D109129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262626" w:themeColor="text1" w:themeTint="D9" w:themeShade="FF"/>
          <w:sz w:val="21"/>
          <w:szCs w:val="21"/>
          <w:lang w:val="en-US"/>
        </w:rPr>
        <w:t xml:space="preserve"> Med. 2019;33(7):770–782</w:t>
      </w:r>
    </w:p>
    <w:p w:rsidR="04D4BBB9" w:rsidP="04D4BBB9" w:rsidRDefault="04D4BBB9" w14:paraId="50357495" w14:textId="0935C180">
      <w:pPr>
        <w:pBdr>
          <w:top w:val="single" w:color="CCCCCC" w:sz="6" w:space="4"/>
          <w:left w:val="single" w:color="CCCCCC" w:sz="6" w:space="4"/>
          <w:bottom w:val="single" w:color="CCCCCC" w:sz="6" w:space="4"/>
          <w:right w:val="single" w:color="CCCCCC" w:sz="6" w:space="4"/>
        </w:pBdr>
        <w:shd w:val="clear" w:color="auto" w:fill="FFFFFF" w:themeFill="background1"/>
        <w:spacing w:before="0" w:beforeAutospacing="off" w:after="0" w:afterAutospacing="off"/>
      </w:pPr>
    </w:p>
    <w:p w:rsidR="04D4BBB9" w:rsidP="04D4BBB9" w:rsidRDefault="04D4BBB9" w14:paraId="583C6C41" w14:textId="3684F297">
      <w:pPr>
        <w:pStyle w:val="Normal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9FD464"/>
    <w:rsid w:val="03EB913E"/>
    <w:rsid w:val="0437EA95"/>
    <w:rsid w:val="04D4BBB9"/>
    <w:rsid w:val="05E98FAD"/>
    <w:rsid w:val="09C0EE9D"/>
    <w:rsid w:val="0D109129"/>
    <w:rsid w:val="11673C33"/>
    <w:rsid w:val="1AC037A1"/>
    <w:rsid w:val="1F8B7280"/>
    <w:rsid w:val="24976CE8"/>
    <w:rsid w:val="2D7C973A"/>
    <w:rsid w:val="3C1E35C0"/>
    <w:rsid w:val="45305534"/>
    <w:rsid w:val="4563AA67"/>
    <w:rsid w:val="48B632D5"/>
    <w:rsid w:val="4DE343E9"/>
    <w:rsid w:val="4ED26CBE"/>
    <w:rsid w:val="5778BB99"/>
    <w:rsid w:val="5BD6601D"/>
    <w:rsid w:val="5C26B5E4"/>
    <w:rsid w:val="5D6CEDDB"/>
    <w:rsid w:val="62BC743F"/>
    <w:rsid w:val="633A37E3"/>
    <w:rsid w:val="64B3CC99"/>
    <w:rsid w:val="6587DA43"/>
    <w:rsid w:val="6E0C1DD1"/>
    <w:rsid w:val="6E1D6621"/>
    <w:rsid w:val="7437A868"/>
    <w:rsid w:val="75F6027D"/>
    <w:rsid w:val="764D30C6"/>
    <w:rsid w:val="7C9FD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D464"/>
  <w15:chartTrackingRefBased/>
  <w15:docId w15:val="{0D983846-7B45-4E1B-B187-8754018DF3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4D4BBB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oi.org/https://doi.org/10.1111/j.1365-" TargetMode="External" Id="R99fc20f420c54d38" /><Relationship Type="http://schemas.openxmlformats.org/officeDocument/2006/relationships/hyperlink" Target="https://www.woundsinternational.com" TargetMode="External" Id="Rc3864a44bfdd43c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2025-01-23T12:44:30.2448228Z</dcterms:created>
  <dcterms:modified xsi:type="dcterms:W3CDTF">2025-01-23T13:05:12.5720323Z</dcterms:modified>
  <dc:creator>Inese Stobova (Student)</dc:creator>
  <lastModifiedBy>Inese Stobova (Student)</lastModifiedBy>
</coreProperties>
</file>