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42E73" w14:textId="77777777" w:rsidR="00316C3B" w:rsidRDefault="00316C3B" w:rsidP="00316C3B"/>
    <w:p w14:paraId="4606E937" w14:textId="77777777" w:rsidR="00316C3B" w:rsidRDefault="00316C3B" w:rsidP="00316C3B">
      <w:pPr>
        <w:jc w:val="center"/>
        <w:rPr>
          <w:b/>
          <w:sz w:val="36"/>
          <w:szCs w:val="24"/>
        </w:rPr>
      </w:pPr>
    </w:p>
    <w:p w14:paraId="122DAB24" w14:textId="77777777" w:rsidR="00316C3B" w:rsidRDefault="00316C3B" w:rsidP="00316C3B">
      <w:pPr>
        <w:jc w:val="center"/>
        <w:rPr>
          <w:b/>
          <w:sz w:val="36"/>
          <w:szCs w:val="24"/>
        </w:rPr>
      </w:pPr>
      <w:r w:rsidRPr="00D12D48">
        <w:rPr>
          <w:b/>
          <w:sz w:val="36"/>
          <w:szCs w:val="24"/>
        </w:rPr>
        <w:t>Artificial Intelligence (AI) and Its Applications in the Finance Industry</w:t>
      </w:r>
    </w:p>
    <w:p w14:paraId="7D0B347A" w14:textId="06F06187" w:rsidR="00316C3B" w:rsidRDefault="00316C3B" w:rsidP="00316C3B">
      <w:pPr>
        <w:jc w:val="center"/>
        <w:rPr>
          <w:b/>
          <w:sz w:val="36"/>
          <w:szCs w:val="24"/>
        </w:rPr>
      </w:pPr>
    </w:p>
    <w:p w14:paraId="4EDA3209" w14:textId="23BE73BD" w:rsidR="00224433" w:rsidRDefault="00224433" w:rsidP="00316C3B">
      <w:pPr>
        <w:jc w:val="center"/>
        <w:rPr>
          <w:b/>
          <w:sz w:val="36"/>
          <w:szCs w:val="24"/>
        </w:rPr>
      </w:pPr>
    </w:p>
    <w:p w14:paraId="5C6AE5C9" w14:textId="77777777" w:rsidR="00224433" w:rsidRDefault="00224433" w:rsidP="00316C3B">
      <w:pPr>
        <w:jc w:val="center"/>
        <w:rPr>
          <w:b/>
          <w:sz w:val="36"/>
          <w:szCs w:val="24"/>
        </w:rPr>
      </w:pPr>
    </w:p>
    <w:p w14:paraId="31E93990" w14:textId="63C9A23D" w:rsidR="00316C3B" w:rsidRPr="00224433" w:rsidRDefault="00224433" w:rsidP="00224433">
      <w:pPr>
        <w:autoSpaceDE w:val="0"/>
        <w:autoSpaceDN w:val="0"/>
        <w:adjustRightInd w:val="0"/>
        <w:spacing w:after="0" w:line="240" w:lineRule="auto"/>
        <w:jc w:val="center"/>
        <w:rPr>
          <w:b/>
          <w:sz w:val="12"/>
          <w:szCs w:val="6"/>
        </w:rPr>
      </w:pPr>
      <w:r w:rsidRPr="00224433">
        <w:rPr>
          <w:rFonts w:ascii="ArialMT" w:hAnsi="ArialMT" w:cs="ArialMT"/>
          <w:sz w:val="35"/>
          <w:szCs w:val="35"/>
        </w:rPr>
        <w:t>•</w:t>
      </w:r>
      <w:proofErr w:type="spellStart"/>
      <w:r w:rsidRPr="00224433">
        <w:rPr>
          <w:rFonts w:ascii="ArialMT" w:hAnsi="ArialMT" w:cs="ArialMT"/>
          <w:sz w:val="35"/>
          <w:szCs w:val="35"/>
        </w:rPr>
        <w:t>Gradojevic</w:t>
      </w:r>
      <w:proofErr w:type="spellEnd"/>
      <w:r w:rsidRPr="00224433">
        <w:rPr>
          <w:rFonts w:ascii="ArialMT" w:hAnsi="ArialMT" w:cs="ArialMT"/>
          <w:sz w:val="35"/>
          <w:szCs w:val="35"/>
        </w:rPr>
        <w:t xml:space="preserve"> N., </w:t>
      </w:r>
      <w:proofErr w:type="spellStart"/>
      <w:r w:rsidRPr="00224433">
        <w:rPr>
          <w:rFonts w:ascii="ArialMT" w:hAnsi="ArialMT" w:cs="ArialMT"/>
          <w:sz w:val="35"/>
          <w:szCs w:val="35"/>
        </w:rPr>
        <w:t>Kukolj</w:t>
      </w:r>
      <w:proofErr w:type="spellEnd"/>
      <w:r w:rsidRPr="00224433">
        <w:rPr>
          <w:rFonts w:ascii="ArialMT" w:hAnsi="ArialMT" w:cs="ArialMT"/>
          <w:sz w:val="35"/>
          <w:szCs w:val="35"/>
        </w:rPr>
        <w:t xml:space="preserve"> D., </w:t>
      </w:r>
      <w:proofErr w:type="spellStart"/>
      <w:r w:rsidRPr="00224433">
        <w:rPr>
          <w:rFonts w:ascii="ArialMT" w:hAnsi="ArialMT" w:cs="ArialMT"/>
          <w:sz w:val="35"/>
          <w:szCs w:val="35"/>
        </w:rPr>
        <w:t>Gencay</w:t>
      </w:r>
      <w:proofErr w:type="spellEnd"/>
      <w:r w:rsidRPr="00224433">
        <w:rPr>
          <w:rFonts w:ascii="ArialMT" w:hAnsi="ArialMT" w:cs="ArialMT"/>
          <w:sz w:val="35"/>
          <w:szCs w:val="35"/>
        </w:rPr>
        <w:t xml:space="preserve"> R., (2011),</w:t>
      </w:r>
      <w:r w:rsidRPr="00224433">
        <w:rPr>
          <w:rFonts w:ascii="ArialMT" w:hAnsi="ArialMT" w:cs="ArialMT"/>
          <w:sz w:val="35"/>
          <w:szCs w:val="35"/>
        </w:rPr>
        <w:t xml:space="preserve"> </w:t>
      </w:r>
      <w:r w:rsidRPr="00224433">
        <w:rPr>
          <w:rFonts w:ascii="ArialMT" w:hAnsi="ArialMT" w:cs="ArialMT"/>
          <w:sz w:val="35"/>
          <w:szCs w:val="35"/>
        </w:rPr>
        <w:t>Clustering and Classification in Option</w:t>
      </w:r>
      <w:r w:rsidRPr="00224433">
        <w:rPr>
          <w:rFonts w:ascii="ArialMT" w:hAnsi="ArialMT" w:cs="ArialMT"/>
          <w:sz w:val="35"/>
          <w:szCs w:val="35"/>
        </w:rPr>
        <w:t xml:space="preserve"> </w:t>
      </w:r>
      <w:r w:rsidRPr="00224433">
        <w:rPr>
          <w:rFonts w:ascii="ArialMT" w:hAnsi="ArialMT" w:cs="ArialMT"/>
          <w:sz w:val="35"/>
          <w:szCs w:val="35"/>
        </w:rPr>
        <w:t xml:space="preserve">Pricing, </w:t>
      </w:r>
      <w:r w:rsidRPr="00224433">
        <w:rPr>
          <w:rFonts w:ascii="Arial-ItalicMT" w:hAnsi="Arial-ItalicMT" w:cs="Arial-ItalicMT"/>
          <w:i/>
          <w:iCs/>
          <w:sz w:val="35"/>
          <w:szCs w:val="35"/>
        </w:rPr>
        <w:t>Review of Economic</w:t>
      </w:r>
      <w:r w:rsidRPr="00224433">
        <w:rPr>
          <w:rFonts w:ascii="Arial-ItalicMT" w:hAnsi="Arial-ItalicMT" w:cs="Arial-ItalicMT"/>
          <w:i/>
          <w:iCs/>
          <w:sz w:val="35"/>
          <w:szCs w:val="35"/>
        </w:rPr>
        <w:t xml:space="preserve"> </w:t>
      </w:r>
      <w:r w:rsidRPr="00224433">
        <w:rPr>
          <w:rFonts w:ascii="Arial-ItalicMT" w:hAnsi="Arial-ItalicMT" w:cs="Arial-ItalicMT"/>
          <w:i/>
          <w:iCs/>
          <w:sz w:val="35"/>
          <w:szCs w:val="35"/>
        </w:rPr>
        <w:t>Analysis</w:t>
      </w:r>
      <w:r w:rsidRPr="00224433">
        <w:rPr>
          <w:rFonts w:ascii="ArialMT" w:hAnsi="ArialMT" w:cs="ArialMT"/>
          <w:sz w:val="35"/>
          <w:szCs w:val="35"/>
        </w:rPr>
        <w:t>, 3(2), pp.109-128.</w:t>
      </w:r>
    </w:p>
    <w:p w14:paraId="5B520BEC" w14:textId="77777777" w:rsidR="00316C3B" w:rsidRDefault="00316C3B" w:rsidP="00316C3B">
      <w:pPr>
        <w:rPr>
          <w:rFonts w:ascii="Times New Roman" w:hAnsi="Times New Roman" w:cs="Times New Roman"/>
          <w:b/>
          <w:sz w:val="24"/>
          <w:szCs w:val="24"/>
        </w:rPr>
      </w:pPr>
      <w:r>
        <w:rPr>
          <w:rFonts w:ascii="Times New Roman" w:hAnsi="Times New Roman" w:cs="Times New Roman"/>
          <w:b/>
          <w:sz w:val="24"/>
          <w:szCs w:val="24"/>
        </w:rPr>
        <w:br w:type="page"/>
      </w:r>
    </w:p>
    <w:p w14:paraId="75A048EE" w14:textId="77777777" w:rsidR="00316C3B" w:rsidRPr="00AC3CE1" w:rsidRDefault="00316C3B" w:rsidP="00316C3B">
      <w:pP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211AB764" w14:textId="77777777" w:rsidR="00316C3B" w:rsidRPr="00D40482" w:rsidRDefault="00316C3B" w:rsidP="00316C3B">
      <w:pPr>
        <w:spacing w:line="360" w:lineRule="auto"/>
        <w:jc w:val="both"/>
        <w:rPr>
          <w:rFonts w:ascii="Times New Roman" w:hAnsi="Times New Roman" w:cs="Times New Roman"/>
          <w:sz w:val="24"/>
          <w:szCs w:val="24"/>
        </w:rPr>
      </w:pPr>
      <w:r w:rsidRPr="00C842C8">
        <w:rPr>
          <w:rFonts w:ascii="Times New Roman" w:hAnsi="Times New Roman" w:cs="Times New Roman"/>
          <w:sz w:val="24"/>
          <w:szCs w:val="24"/>
        </w:rPr>
        <w:t xml:space="preserve">Finance is an industry </w:t>
      </w:r>
      <w:r>
        <w:rPr>
          <w:rFonts w:ascii="Times New Roman" w:hAnsi="Times New Roman" w:cs="Times New Roman"/>
          <w:sz w:val="24"/>
          <w:szCs w:val="24"/>
        </w:rPr>
        <w:t xml:space="preserve">that has heavily benefited from the “big data" concept, the financial institutions are now finding it important to implement </w:t>
      </w:r>
      <w:r w:rsidRPr="00C842C8">
        <w:rPr>
          <w:rFonts w:ascii="Times New Roman" w:hAnsi="Times New Roman" w:cs="Times New Roman"/>
          <w:sz w:val="24"/>
          <w:szCs w:val="24"/>
        </w:rPr>
        <w:t xml:space="preserve">AI solutions </w:t>
      </w:r>
      <w:r>
        <w:rPr>
          <w:rFonts w:ascii="Times New Roman" w:hAnsi="Times New Roman" w:cs="Times New Roman"/>
          <w:sz w:val="24"/>
          <w:szCs w:val="24"/>
        </w:rPr>
        <w:t xml:space="preserve">in their operations in order </w:t>
      </w:r>
      <w:r w:rsidRPr="00C842C8">
        <w:rPr>
          <w:rFonts w:ascii="Times New Roman" w:hAnsi="Times New Roman" w:cs="Times New Roman"/>
          <w:sz w:val="24"/>
          <w:szCs w:val="24"/>
        </w:rPr>
        <w:t xml:space="preserve">to help </w:t>
      </w:r>
      <w:r>
        <w:rPr>
          <w:rFonts w:ascii="Times New Roman" w:hAnsi="Times New Roman" w:cs="Times New Roman"/>
          <w:sz w:val="24"/>
          <w:szCs w:val="24"/>
        </w:rPr>
        <w:t>interoperate  financial data and make appropriate decision in aspects such as the pricing predictions</w:t>
      </w:r>
      <w:r w:rsidRPr="00C842C8">
        <w:rPr>
          <w:rFonts w:ascii="Times New Roman" w:hAnsi="Times New Roman" w:cs="Times New Roman"/>
          <w:sz w:val="24"/>
          <w:szCs w:val="24"/>
        </w:rPr>
        <w:t>. One of the main resources is an artificial neural network (ANN), a form of brain-modelled computer system designed to solve finance problems. ANNs can store more in</w:t>
      </w:r>
      <w:r>
        <w:rPr>
          <w:rFonts w:ascii="Times New Roman" w:hAnsi="Times New Roman" w:cs="Times New Roman"/>
          <w:sz w:val="24"/>
          <w:szCs w:val="24"/>
        </w:rPr>
        <w:t xml:space="preserve">formation than any human brain. The paper discusses current literature on various artificial intelligence models and their application in finance industry. </w:t>
      </w:r>
    </w:p>
    <w:p w14:paraId="18FA4495" w14:textId="77777777" w:rsidR="00316C3B" w:rsidRDefault="00316C3B" w:rsidP="00316C3B">
      <w:pPr>
        <w:rPr>
          <w:rFonts w:ascii="Times New Roman" w:hAnsi="Times New Roman" w:cs="Times New Roman"/>
          <w:b/>
          <w:sz w:val="24"/>
          <w:szCs w:val="24"/>
        </w:rPr>
      </w:pPr>
      <w:r>
        <w:rPr>
          <w:rFonts w:ascii="Times New Roman" w:hAnsi="Times New Roman" w:cs="Times New Roman"/>
          <w:b/>
          <w:sz w:val="24"/>
          <w:szCs w:val="24"/>
        </w:rPr>
        <w:br w:type="page"/>
      </w:r>
    </w:p>
    <w:p w14:paraId="5425C605" w14:textId="77777777" w:rsidR="00316C3B" w:rsidRPr="00D40482" w:rsidRDefault="00316C3B" w:rsidP="00316C3B">
      <w:pPr>
        <w:spacing w:line="360" w:lineRule="auto"/>
        <w:rPr>
          <w:rFonts w:ascii="Times New Roman" w:hAnsi="Times New Roman" w:cs="Times New Roman"/>
          <w:b/>
          <w:sz w:val="24"/>
          <w:szCs w:val="24"/>
        </w:rPr>
      </w:pPr>
      <w:r w:rsidRPr="00D40482">
        <w:rPr>
          <w:rFonts w:ascii="Times New Roman" w:hAnsi="Times New Roman" w:cs="Times New Roman"/>
          <w:b/>
          <w:sz w:val="24"/>
          <w:szCs w:val="24"/>
        </w:rPr>
        <w:lastRenderedPageBreak/>
        <w:t>Introduction</w:t>
      </w:r>
    </w:p>
    <w:p w14:paraId="482A8901" w14:textId="77777777" w:rsidR="00316C3B" w:rsidRPr="00D246F0" w:rsidRDefault="00316C3B" w:rsidP="00316C3B">
      <w:pPr>
        <w:spacing w:line="360" w:lineRule="auto"/>
        <w:jc w:val="both"/>
        <w:rPr>
          <w:rFonts w:ascii="Times New Roman" w:hAnsi="Times New Roman" w:cs="Times New Roman"/>
          <w:sz w:val="24"/>
          <w:szCs w:val="24"/>
        </w:rPr>
      </w:pPr>
      <w:r>
        <w:rPr>
          <w:rFonts w:ascii="Times New Roman" w:hAnsi="Times New Roman" w:cs="Times New Roman"/>
          <w:sz w:val="24"/>
          <w:szCs w:val="24"/>
        </w:rPr>
        <w:t>It has been</w:t>
      </w:r>
      <w:r w:rsidRPr="00D246F0">
        <w:rPr>
          <w:rFonts w:ascii="Times New Roman" w:hAnsi="Times New Roman" w:cs="Times New Roman"/>
          <w:sz w:val="24"/>
          <w:szCs w:val="24"/>
        </w:rPr>
        <w:t xml:space="preserve"> widely reported </w:t>
      </w:r>
      <w:r>
        <w:rPr>
          <w:rFonts w:ascii="Times New Roman" w:hAnsi="Times New Roman" w:cs="Times New Roman"/>
          <w:sz w:val="24"/>
          <w:szCs w:val="24"/>
        </w:rPr>
        <w:t xml:space="preserve">by scholars that return on stock show anomalous and random distribution of variance conflicting the pricing model assumptions by </w:t>
      </w:r>
      <w:r w:rsidRPr="00D246F0">
        <w:rPr>
          <w:rFonts w:ascii="Times New Roman" w:hAnsi="Times New Roman" w:cs="Times New Roman"/>
          <w:sz w:val="24"/>
          <w:szCs w:val="24"/>
        </w:rPr>
        <w:t>sta</w:t>
      </w:r>
      <w:r>
        <w:rPr>
          <w:rFonts w:ascii="Times New Roman" w:hAnsi="Times New Roman" w:cs="Times New Roman"/>
          <w:sz w:val="24"/>
          <w:szCs w:val="24"/>
        </w:rPr>
        <w:t>ndard Black and Scholes (1973).</w:t>
      </w:r>
      <w:r w:rsidRPr="00D246F0">
        <w:rPr>
          <w:rFonts w:ascii="Times New Roman" w:hAnsi="Times New Roman" w:cs="Times New Roman"/>
          <w:sz w:val="24"/>
          <w:szCs w:val="24"/>
        </w:rPr>
        <w:t xml:space="preserve"> </w:t>
      </w:r>
      <w:proofErr w:type="spellStart"/>
      <w:r w:rsidRPr="00D246F0">
        <w:rPr>
          <w:rFonts w:ascii="Times New Roman" w:hAnsi="Times New Roman" w:cs="Times New Roman"/>
          <w:sz w:val="24"/>
          <w:szCs w:val="24"/>
        </w:rPr>
        <w:t>Bakshi</w:t>
      </w:r>
      <w:proofErr w:type="spellEnd"/>
      <w:r w:rsidRPr="00D246F0">
        <w:rPr>
          <w:rFonts w:ascii="Times New Roman" w:hAnsi="Times New Roman" w:cs="Times New Roman"/>
          <w:sz w:val="24"/>
          <w:szCs w:val="24"/>
        </w:rPr>
        <w:t xml:space="preserve"> et al. (1997), for example, report price biases for "volatile smile" call-and-post options. A similar currency bias is the "volatile smile," which refers to a volatile smile skewing towards one side. In </w:t>
      </w:r>
      <w:proofErr w:type="gramStart"/>
      <w:r w:rsidRPr="00D246F0">
        <w:rPr>
          <w:rFonts w:ascii="Times New Roman" w:hAnsi="Times New Roman" w:cs="Times New Roman"/>
          <w:sz w:val="24"/>
          <w:szCs w:val="24"/>
        </w:rPr>
        <w:t>both of these</w:t>
      </w:r>
      <w:proofErr w:type="gramEnd"/>
      <w:r w:rsidRPr="00D246F0">
        <w:rPr>
          <w:rFonts w:ascii="Times New Roman" w:hAnsi="Times New Roman" w:cs="Times New Roman"/>
          <w:sz w:val="24"/>
          <w:szCs w:val="24"/>
        </w:rPr>
        <w:t xml:space="preserve"> assumptions, the volatility involved in the Black-Scholes model differs from one strike to another and therefore violates the model's presumption of constant variance. The pricing biases less commonly mentioned include maturity biases. Black (1975) states that the Black Scholes formula appears to be overpriced for options of less than three month</w:t>
      </w:r>
      <w:r>
        <w:rPr>
          <w:rFonts w:ascii="Times New Roman" w:hAnsi="Times New Roman" w:cs="Times New Roman"/>
          <w:sz w:val="24"/>
          <w:szCs w:val="24"/>
        </w:rPr>
        <w:t xml:space="preserve">s expiry. </w:t>
      </w:r>
      <w:proofErr w:type="spellStart"/>
      <w:r w:rsidRPr="00D246F0">
        <w:rPr>
          <w:rFonts w:ascii="Times New Roman" w:hAnsi="Times New Roman" w:cs="Times New Roman"/>
          <w:sz w:val="24"/>
          <w:szCs w:val="24"/>
        </w:rPr>
        <w:t>Bakshi</w:t>
      </w:r>
      <w:proofErr w:type="spellEnd"/>
      <w:r w:rsidRPr="00D246F0">
        <w:rPr>
          <w:rFonts w:ascii="Times New Roman" w:hAnsi="Times New Roman" w:cs="Times New Roman"/>
          <w:sz w:val="24"/>
          <w:szCs w:val="24"/>
        </w:rPr>
        <w:t xml:space="preserve"> et </w:t>
      </w:r>
      <w:r>
        <w:rPr>
          <w:rFonts w:ascii="Times New Roman" w:hAnsi="Times New Roman" w:cs="Times New Roman"/>
          <w:sz w:val="24"/>
          <w:szCs w:val="24"/>
        </w:rPr>
        <w:t>al (1997) discovered that despite the cash flow, price differences of the Black-Scholes model were rapidly increasing with time</w:t>
      </w:r>
      <w:r w:rsidRPr="00D246F0">
        <w:rPr>
          <w:rFonts w:ascii="Times New Roman" w:hAnsi="Times New Roman" w:cs="Times New Roman"/>
          <w:sz w:val="24"/>
          <w:szCs w:val="24"/>
        </w:rPr>
        <w:t>. For deeper choices, this phenomenon is more pronounced.</w:t>
      </w:r>
      <w:r>
        <w:rPr>
          <w:rFonts w:ascii="Times New Roman" w:hAnsi="Times New Roman" w:cs="Times New Roman"/>
          <w:sz w:val="24"/>
          <w:szCs w:val="24"/>
        </w:rPr>
        <w:t xml:space="preserve"> To counteract the bias of the B</w:t>
      </w:r>
      <w:r w:rsidRPr="00D246F0">
        <w:rPr>
          <w:rFonts w:ascii="Times New Roman" w:hAnsi="Times New Roman" w:cs="Times New Roman"/>
          <w:sz w:val="24"/>
          <w:szCs w:val="24"/>
        </w:rPr>
        <w:t>lac</w:t>
      </w:r>
      <w:r>
        <w:rPr>
          <w:rFonts w:ascii="Times New Roman" w:hAnsi="Times New Roman" w:cs="Times New Roman"/>
          <w:sz w:val="24"/>
          <w:szCs w:val="24"/>
        </w:rPr>
        <w:t>k Scholes model, on verifiable</w:t>
      </w:r>
      <w:r w:rsidRPr="00D246F0">
        <w:rPr>
          <w:rFonts w:ascii="Times New Roman" w:hAnsi="Times New Roman" w:cs="Times New Roman"/>
          <w:sz w:val="24"/>
          <w:szCs w:val="24"/>
        </w:rPr>
        <w:t xml:space="preserve"> pricing choices, two strands of research have emerged: parametric and non-parametric mod</w:t>
      </w:r>
      <w:r>
        <w:rPr>
          <w:rFonts w:ascii="Times New Roman" w:hAnsi="Times New Roman" w:cs="Times New Roman"/>
          <w:sz w:val="24"/>
          <w:szCs w:val="24"/>
        </w:rPr>
        <w:t xml:space="preserve">els. </w:t>
      </w:r>
      <w:proofErr w:type="spellStart"/>
      <w:r w:rsidRPr="00D246F0">
        <w:rPr>
          <w:rFonts w:ascii="Times New Roman" w:hAnsi="Times New Roman" w:cs="Times New Roman"/>
          <w:sz w:val="24"/>
          <w:szCs w:val="24"/>
        </w:rPr>
        <w:t>Bakshi</w:t>
      </w:r>
      <w:proofErr w:type="spellEnd"/>
      <w:r w:rsidRPr="00D246F0">
        <w:rPr>
          <w:rFonts w:ascii="Times New Roman" w:hAnsi="Times New Roman" w:cs="Times New Roman"/>
          <w:sz w:val="24"/>
          <w:szCs w:val="24"/>
        </w:rPr>
        <w:t xml:space="preserve"> et </w:t>
      </w:r>
      <w:r>
        <w:rPr>
          <w:rFonts w:ascii="Times New Roman" w:hAnsi="Times New Roman" w:cs="Times New Roman"/>
          <w:sz w:val="24"/>
          <w:szCs w:val="24"/>
        </w:rPr>
        <w:t>al.</w:t>
      </w:r>
      <w:r w:rsidRPr="00D246F0">
        <w:rPr>
          <w:rFonts w:ascii="Times New Roman" w:hAnsi="Times New Roman" w:cs="Times New Roman"/>
          <w:sz w:val="24"/>
          <w:szCs w:val="24"/>
        </w:rPr>
        <w:t>, (1997</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Genc</w:t>
      </w:r>
      <w:r w:rsidRPr="00D246F0">
        <w:rPr>
          <w:rFonts w:ascii="Times New Roman" w:hAnsi="Times New Roman" w:cs="Times New Roman"/>
          <w:sz w:val="24"/>
          <w:szCs w:val="24"/>
        </w:rPr>
        <w:t>ay</w:t>
      </w:r>
      <w:proofErr w:type="spellEnd"/>
      <w:r w:rsidRPr="00D246F0">
        <w:rPr>
          <w:rFonts w:ascii="Times New Roman" w:hAnsi="Times New Roman" w:cs="Times New Roman"/>
          <w:sz w:val="24"/>
          <w:szCs w:val="24"/>
        </w:rPr>
        <w:t xml:space="preserve"> an</w:t>
      </w:r>
      <w:r>
        <w:rPr>
          <w:rFonts w:ascii="Times New Roman" w:hAnsi="Times New Roman" w:cs="Times New Roman"/>
          <w:sz w:val="24"/>
          <w:szCs w:val="24"/>
        </w:rPr>
        <w:t>d Gibson, (2009) have demonstrated the  parametric head</w:t>
      </w:r>
      <w:r w:rsidRPr="00D246F0">
        <w:rPr>
          <w:rFonts w:ascii="Times New Roman" w:hAnsi="Times New Roman" w:cs="Times New Roman"/>
          <w:sz w:val="24"/>
          <w:szCs w:val="24"/>
        </w:rPr>
        <w:t xml:space="preserve"> of stochastic volatility (SV), random jump stochastic volatility (SVJ) and stochastic interest rate(SI) m</w:t>
      </w:r>
      <w:r>
        <w:rPr>
          <w:rFonts w:ascii="Times New Roman" w:hAnsi="Times New Roman" w:cs="Times New Roman"/>
          <w:sz w:val="24"/>
          <w:szCs w:val="24"/>
        </w:rPr>
        <w:t>odels, and there is proof that a</w:t>
      </w:r>
      <w:r w:rsidRPr="00D246F0">
        <w:rPr>
          <w:rFonts w:ascii="Times New Roman" w:hAnsi="Times New Roman" w:cs="Times New Roman"/>
          <w:sz w:val="24"/>
          <w:szCs w:val="24"/>
        </w:rPr>
        <w:t>ccurate representation of th</w:t>
      </w:r>
      <w:r>
        <w:rPr>
          <w:rFonts w:ascii="Times New Roman" w:hAnsi="Times New Roman" w:cs="Times New Roman"/>
          <w:sz w:val="24"/>
          <w:szCs w:val="24"/>
        </w:rPr>
        <w:t xml:space="preserve">e Black Scholes model is of great </w:t>
      </w:r>
      <w:r w:rsidRPr="00D246F0">
        <w:rPr>
          <w:rFonts w:ascii="Times New Roman" w:hAnsi="Times New Roman" w:cs="Times New Roman"/>
          <w:sz w:val="24"/>
          <w:szCs w:val="24"/>
        </w:rPr>
        <w:t>i</w:t>
      </w:r>
      <w:r>
        <w:rPr>
          <w:rFonts w:ascii="Times New Roman" w:hAnsi="Times New Roman" w:cs="Times New Roman"/>
          <w:sz w:val="24"/>
          <w:szCs w:val="24"/>
        </w:rPr>
        <w:t xml:space="preserve">mportance. Stochastic volatility extension to jump stochastic volatility increases price of </w:t>
      </w:r>
      <w:r w:rsidRPr="00D246F0">
        <w:rPr>
          <w:rFonts w:ascii="Times New Roman" w:hAnsi="Times New Roman" w:cs="Times New Roman"/>
          <w:sz w:val="24"/>
          <w:szCs w:val="24"/>
        </w:rPr>
        <w:t>options</w:t>
      </w:r>
      <w:r>
        <w:rPr>
          <w:rFonts w:ascii="Times New Roman" w:hAnsi="Times New Roman" w:cs="Times New Roman"/>
          <w:sz w:val="24"/>
          <w:szCs w:val="24"/>
        </w:rPr>
        <w:t xml:space="preserve"> that are short term. The l</w:t>
      </w:r>
      <w:r w:rsidRPr="00D246F0">
        <w:rPr>
          <w:rFonts w:ascii="Times New Roman" w:hAnsi="Times New Roman" w:cs="Times New Roman"/>
          <w:sz w:val="24"/>
          <w:szCs w:val="24"/>
        </w:rPr>
        <w:t>ong-term pricing and hedging options</w:t>
      </w:r>
      <w:r>
        <w:rPr>
          <w:rFonts w:ascii="Times New Roman" w:hAnsi="Times New Roman" w:cs="Times New Roman"/>
          <w:sz w:val="24"/>
          <w:szCs w:val="24"/>
        </w:rPr>
        <w:t xml:space="preserve"> are increased by stochastic interest rate. However, vigorous</w:t>
      </w:r>
      <w:r w:rsidRPr="00D246F0">
        <w:rPr>
          <w:rFonts w:ascii="Times New Roman" w:hAnsi="Times New Roman" w:cs="Times New Roman"/>
          <w:sz w:val="24"/>
          <w:szCs w:val="24"/>
        </w:rPr>
        <w:t xml:space="preserve"> price changes</w:t>
      </w:r>
      <w:r>
        <w:rPr>
          <w:rFonts w:ascii="Times New Roman" w:hAnsi="Times New Roman" w:cs="Times New Roman"/>
          <w:sz w:val="24"/>
          <w:szCs w:val="24"/>
        </w:rPr>
        <w:t xml:space="preserve"> are not produced by the parametric models and they result to certain short-term </w:t>
      </w:r>
      <w:r w:rsidRPr="00D246F0">
        <w:rPr>
          <w:rFonts w:ascii="Times New Roman" w:hAnsi="Times New Roman" w:cs="Times New Roman"/>
          <w:sz w:val="24"/>
          <w:szCs w:val="24"/>
        </w:rPr>
        <w:t>choices</w:t>
      </w:r>
      <w:r>
        <w:rPr>
          <w:rFonts w:ascii="Times New Roman" w:hAnsi="Times New Roman" w:cs="Times New Roman"/>
          <w:sz w:val="24"/>
          <w:szCs w:val="24"/>
        </w:rPr>
        <w:t xml:space="preserve"> that are linked to money</w:t>
      </w:r>
      <w:r w:rsidRPr="00D246F0">
        <w:rPr>
          <w:rFonts w:ascii="Times New Roman" w:hAnsi="Times New Roman" w:cs="Times New Roman"/>
          <w:sz w:val="24"/>
          <w:szCs w:val="24"/>
        </w:rPr>
        <w:t>. The question remains, therefore, how to manage the smile impact on short-term choices. Despite the parametric model’s theoretical appeal, no</w:t>
      </w:r>
      <w:r>
        <w:rPr>
          <w:rFonts w:ascii="Times New Roman" w:hAnsi="Times New Roman" w:cs="Times New Roman"/>
          <w:sz w:val="24"/>
          <w:szCs w:val="24"/>
        </w:rPr>
        <w:t xml:space="preserve">n-parametrical </w:t>
      </w:r>
      <w:proofErr w:type="gramStart"/>
      <w:r>
        <w:rPr>
          <w:rFonts w:ascii="Times New Roman" w:hAnsi="Times New Roman" w:cs="Times New Roman"/>
          <w:sz w:val="24"/>
          <w:szCs w:val="24"/>
        </w:rPr>
        <w:t>models</w:t>
      </w:r>
      <w:proofErr w:type="gramEnd"/>
      <w:r>
        <w:rPr>
          <w:rFonts w:ascii="Times New Roman" w:hAnsi="Times New Roman" w:cs="Times New Roman"/>
          <w:sz w:val="24"/>
          <w:szCs w:val="24"/>
        </w:rPr>
        <w:t xml:space="preserve"> proof to be successful in toning down </w:t>
      </w:r>
      <w:r w:rsidRPr="00D246F0">
        <w:rPr>
          <w:rFonts w:ascii="Times New Roman" w:hAnsi="Times New Roman" w:cs="Times New Roman"/>
          <w:sz w:val="24"/>
          <w:szCs w:val="24"/>
        </w:rPr>
        <w:t xml:space="preserve">the Black </w:t>
      </w:r>
      <w:proofErr w:type="spellStart"/>
      <w:r w:rsidRPr="00D246F0">
        <w:rPr>
          <w:rFonts w:ascii="Times New Roman" w:hAnsi="Times New Roman" w:cs="Times New Roman"/>
          <w:sz w:val="24"/>
          <w:szCs w:val="24"/>
        </w:rPr>
        <w:t>Sc</w:t>
      </w:r>
      <w:r>
        <w:rPr>
          <w:rFonts w:ascii="Times New Roman" w:hAnsi="Times New Roman" w:cs="Times New Roman"/>
          <w:sz w:val="24"/>
          <w:szCs w:val="24"/>
        </w:rPr>
        <w:t>hole</w:t>
      </w:r>
      <w:proofErr w:type="spellEnd"/>
      <w:r>
        <w:rPr>
          <w:rFonts w:ascii="Times New Roman" w:hAnsi="Times New Roman" w:cs="Times New Roman"/>
          <w:sz w:val="24"/>
          <w:szCs w:val="24"/>
        </w:rPr>
        <w:t xml:space="preserve"> model's assumptions (</w:t>
      </w:r>
      <w:proofErr w:type="spellStart"/>
      <w:r>
        <w:rPr>
          <w:rFonts w:ascii="Times New Roman" w:hAnsi="Times New Roman" w:cs="Times New Roman"/>
          <w:sz w:val="24"/>
          <w:szCs w:val="24"/>
        </w:rPr>
        <w:t>Gencay</w:t>
      </w:r>
      <w:proofErr w:type="spellEnd"/>
      <w:r>
        <w:rPr>
          <w:rFonts w:ascii="Times New Roman" w:hAnsi="Times New Roman" w:cs="Times New Roman"/>
          <w:sz w:val="24"/>
          <w:szCs w:val="24"/>
        </w:rPr>
        <w:t xml:space="preserve"> and Gibson, 2009). This is the reason; this article </w:t>
      </w:r>
      <w:proofErr w:type="gramStart"/>
      <w:r>
        <w:rPr>
          <w:rFonts w:ascii="Times New Roman" w:hAnsi="Times New Roman" w:cs="Times New Roman"/>
          <w:sz w:val="24"/>
          <w:szCs w:val="24"/>
        </w:rPr>
        <w:t>looks into</w:t>
      </w:r>
      <w:proofErr w:type="gramEnd"/>
      <w:r>
        <w:rPr>
          <w:rFonts w:ascii="Times New Roman" w:hAnsi="Times New Roman" w:cs="Times New Roman"/>
          <w:sz w:val="24"/>
          <w:szCs w:val="24"/>
        </w:rPr>
        <w:t xml:space="preserve"> non-parametric option pricing features</w:t>
      </w:r>
      <w:r w:rsidRPr="00D246F0">
        <w:rPr>
          <w:rFonts w:ascii="Times New Roman" w:hAnsi="Times New Roman" w:cs="Times New Roman"/>
          <w:sz w:val="24"/>
          <w:szCs w:val="24"/>
        </w:rPr>
        <w:t>.</w:t>
      </w:r>
    </w:p>
    <w:p w14:paraId="22D6C761" w14:textId="77777777" w:rsidR="00316C3B" w:rsidRDefault="00316C3B" w:rsidP="00316C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Pr="00D246F0">
        <w:rPr>
          <w:rFonts w:ascii="Times New Roman" w:hAnsi="Times New Roman" w:cs="Times New Roman"/>
          <w:sz w:val="24"/>
          <w:szCs w:val="24"/>
        </w:rPr>
        <w:t xml:space="preserve">on-parametric </w:t>
      </w:r>
      <w:proofErr w:type="gramStart"/>
      <w:r w:rsidRPr="00D246F0">
        <w:rPr>
          <w:rFonts w:ascii="Times New Roman" w:hAnsi="Times New Roman" w:cs="Times New Roman"/>
          <w:sz w:val="24"/>
          <w:szCs w:val="24"/>
        </w:rPr>
        <w:t>mode</w:t>
      </w:r>
      <w:r>
        <w:rPr>
          <w:rFonts w:ascii="Times New Roman" w:hAnsi="Times New Roman" w:cs="Times New Roman"/>
          <w:sz w:val="24"/>
          <w:szCs w:val="24"/>
        </w:rPr>
        <w:t>ls</w:t>
      </w:r>
      <w:proofErr w:type="gramEnd"/>
      <w:r>
        <w:rPr>
          <w:rFonts w:ascii="Times New Roman" w:hAnsi="Times New Roman" w:cs="Times New Roman"/>
          <w:sz w:val="24"/>
          <w:szCs w:val="24"/>
        </w:rPr>
        <w:t xml:space="preserve"> superiority is demonstrated by its potential for adaptive learning and ability to restrict distribution of returns. </w:t>
      </w:r>
      <w:proofErr w:type="spellStart"/>
      <w:r>
        <w:rPr>
          <w:rFonts w:ascii="Times New Roman" w:hAnsi="Times New Roman" w:cs="Times New Roman"/>
          <w:sz w:val="24"/>
          <w:szCs w:val="24"/>
        </w:rPr>
        <w:t>The</w:t>
      </w:r>
      <w:r w:rsidRPr="00D246F0">
        <w:rPr>
          <w:rFonts w:ascii="Times New Roman" w:hAnsi="Times New Roman" w:cs="Times New Roman"/>
          <w:sz w:val="24"/>
          <w:szCs w:val="24"/>
        </w:rPr>
        <w:t>non</w:t>
      </w:r>
      <w:proofErr w:type="spellEnd"/>
      <w:r w:rsidRPr="00D246F0">
        <w:rPr>
          <w:rFonts w:ascii="Times New Roman" w:hAnsi="Times New Roman" w:cs="Times New Roman"/>
          <w:sz w:val="24"/>
          <w:szCs w:val="24"/>
        </w:rPr>
        <w:t>-parametric models contain vers</w:t>
      </w:r>
      <w:r>
        <w:rPr>
          <w:rFonts w:ascii="Times New Roman" w:hAnsi="Times New Roman" w:cs="Times New Roman"/>
          <w:sz w:val="24"/>
          <w:szCs w:val="24"/>
        </w:rPr>
        <w:t xml:space="preserve">atile features with </w:t>
      </w:r>
      <w:r w:rsidRPr="00D246F0">
        <w:rPr>
          <w:rFonts w:ascii="Times New Roman" w:hAnsi="Times New Roman" w:cs="Times New Roman"/>
          <w:sz w:val="24"/>
          <w:szCs w:val="24"/>
        </w:rPr>
        <w:t xml:space="preserve">advantages in contrast to the parametrical parameters of leaps, non-stock and negative skewness and kurtosis. It is worth noting that non-parametric approaches are typically based on a smooth-fit equilibrium. In the estimation process, this compromise is generally managed by the choice of parameter, which is a tough task. This could lead to lack of stability which would affect the non-parametric methods output outside of the study. That is why a parsimonious parametric model can </w:t>
      </w:r>
      <w:r w:rsidRPr="00D246F0">
        <w:rPr>
          <w:rFonts w:ascii="Times New Roman" w:hAnsi="Times New Roman" w:cs="Times New Roman"/>
          <w:sz w:val="24"/>
          <w:szCs w:val="24"/>
        </w:rPr>
        <w:lastRenderedPageBreak/>
        <w:t>be preferred. Moreover, there is parametric transparency in parametric models, which usually la</w:t>
      </w:r>
      <w:r>
        <w:rPr>
          <w:rFonts w:ascii="Times New Roman" w:hAnsi="Times New Roman" w:cs="Times New Roman"/>
          <w:sz w:val="24"/>
          <w:szCs w:val="24"/>
        </w:rPr>
        <w:t>cks non-parametric</w:t>
      </w:r>
      <w:r w:rsidRPr="00D246F0">
        <w:rPr>
          <w:rFonts w:ascii="Times New Roman" w:hAnsi="Times New Roman" w:cs="Times New Roman"/>
          <w:sz w:val="24"/>
          <w:szCs w:val="24"/>
        </w:rPr>
        <w:t xml:space="preserve"> models. Despite this view’s validity, parametric models may also suffer from similar inconveniences.</w:t>
      </w:r>
    </w:p>
    <w:p w14:paraId="24AB89D0" w14:textId="77777777" w:rsidR="00316C3B" w:rsidRDefault="00316C3B" w:rsidP="00316C3B">
      <w:pPr>
        <w:spacing w:line="360" w:lineRule="auto"/>
        <w:jc w:val="both"/>
        <w:rPr>
          <w:rFonts w:ascii="Times New Roman" w:hAnsi="Times New Roman" w:cs="Times New Roman"/>
          <w:sz w:val="24"/>
          <w:szCs w:val="24"/>
        </w:rPr>
      </w:pPr>
    </w:p>
    <w:p w14:paraId="63D2C588" w14:textId="77777777" w:rsidR="00316C3B" w:rsidRPr="004955EC" w:rsidRDefault="00316C3B" w:rsidP="00316C3B">
      <w:pPr>
        <w:spacing w:line="360" w:lineRule="auto"/>
        <w:rPr>
          <w:rFonts w:ascii="Times New Roman" w:hAnsi="Times New Roman" w:cs="Times New Roman"/>
          <w:b/>
          <w:bCs/>
          <w:sz w:val="24"/>
          <w:szCs w:val="24"/>
        </w:rPr>
      </w:pPr>
      <w:r w:rsidRPr="004955EC">
        <w:rPr>
          <w:rFonts w:ascii="Times New Roman" w:hAnsi="Times New Roman" w:cs="Times New Roman"/>
          <w:b/>
          <w:bCs/>
          <w:sz w:val="24"/>
          <w:szCs w:val="24"/>
        </w:rPr>
        <w:t xml:space="preserve">Examples in </w:t>
      </w:r>
      <w:r>
        <w:rPr>
          <w:rFonts w:ascii="Times New Roman" w:hAnsi="Times New Roman" w:cs="Times New Roman"/>
          <w:b/>
          <w:bCs/>
          <w:sz w:val="24"/>
          <w:szCs w:val="24"/>
        </w:rPr>
        <w:t xml:space="preserve">the </w:t>
      </w:r>
      <w:r w:rsidRPr="004955EC">
        <w:rPr>
          <w:rFonts w:ascii="Times New Roman" w:hAnsi="Times New Roman" w:cs="Times New Roman"/>
          <w:b/>
          <w:bCs/>
          <w:sz w:val="24"/>
          <w:szCs w:val="24"/>
        </w:rPr>
        <w:t>Finance</w:t>
      </w:r>
      <w:r>
        <w:rPr>
          <w:rFonts w:ascii="Times New Roman" w:hAnsi="Times New Roman" w:cs="Times New Roman"/>
          <w:b/>
          <w:bCs/>
          <w:sz w:val="24"/>
          <w:szCs w:val="24"/>
        </w:rPr>
        <w:t xml:space="preserve"> Sector of Artificial Intelligence</w:t>
      </w:r>
    </w:p>
    <w:p w14:paraId="27F0CB7F" w14:textId="77777777" w:rsidR="00316C3B" w:rsidRDefault="00316C3B" w:rsidP="00316C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Artificial intelligence which can be referred to machine intelligence, has banking, stock, bonds and investment on the sell side and managers of assets, firms with capital and foreign exchange on the buy side within finance. In the sell side, companies use artificial intelligence to perform trials on credit or trading processes. </w:t>
      </w:r>
      <w:r w:rsidRPr="001D59F0">
        <w:rPr>
          <w:rFonts w:ascii="Times New Roman" w:hAnsi="Times New Roman" w:cs="Times New Roman"/>
          <w:sz w:val="24"/>
          <w:szCs w:val="24"/>
        </w:rPr>
        <w:t>Natural language processing software</w:t>
      </w:r>
      <w:r>
        <w:rPr>
          <w:rFonts w:ascii="Times New Roman" w:hAnsi="Times New Roman" w:cs="Times New Roman"/>
          <w:sz w:val="24"/>
          <w:szCs w:val="24"/>
        </w:rPr>
        <w:t xml:space="preserve"> is also used to experiment by banks. The software</w:t>
      </w:r>
      <w:r w:rsidRPr="001D59F0">
        <w:rPr>
          <w:rFonts w:ascii="Times New Roman" w:hAnsi="Times New Roman" w:cs="Times New Roman"/>
          <w:sz w:val="24"/>
          <w:szCs w:val="24"/>
        </w:rPr>
        <w:t xml:space="preserve"> listens to custome</w:t>
      </w:r>
      <w:r>
        <w:rPr>
          <w:rFonts w:ascii="Times New Roman" w:hAnsi="Times New Roman" w:cs="Times New Roman"/>
          <w:sz w:val="24"/>
          <w:szCs w:val="24"/>
        </w:rPr>
        <w:t xml:space="preserve">r interactions and investigates clients’ trades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recommend purchases and </w:t>
      </w:r>
      <w:r w:rsidRPr="001D59F0">
        <w:rPr>
          <w:rFonts w:ascii="Times New Roman" w:hAnsi="Times New Roman" w:cs="Times New Roman"/>
          <w:sz w:val="24"/>
          <w:szCs w:val="24"/>
        </w:rPr>
        <w:t>predict potent</w:t>
      </w:r>
      <w:r>
        <w:rPr>
          <w:rFonts w:ascii="Times New Roman" w:hAnsi="Times New Roman" w:cs="Times New Roman"/>
          <w:sz w:val="24"/>
          <w:szCs w:val="24"/>
        </w:rPr>
        <w:t>ial demands. They also</w:t>
      </w:r>
      <w:r w:rsidRPr="001D59F0">
        <w:rPr>
          <w:rFonts w:ascii="Times New Roman" w:hAnsi="Times New Roman" w:cs="Times New Roman"/>
          <w:sz w:val="24"/>
          <w:szCs w:val="24"/>
        </w:rPr>
        <w:t xml:space="preserve"> us</w:t>
      </w:r>
      <w:r>
        <w:rPr>
          <w:rFonts w:ascii="Times New Roman" w:hAnsi="Times New Roman" w:cs="Times New Roman"/>
          <w:sz w:val="24"/>
          <w:szCs w:val="24"/>
        </w:rPr>
        <w:t xml:space="preserve">e machine-learning algorithms which </w:t>
      </w:r>
      <w:r w:rsidRPr="001D59F0">
        <w:rPr>
          <w:rFonts w:ascii="Times New Roman" w:hAnsi="Times New Roman" w:cs="Times New Roman"/>
          <w:sz w:val="24"/>
          <w:szCs w:val="24"/>
        </w:rPr>
        <w:t>propose best rate</w:t>
      </w:r>
      <w:r>
        <w:rPr>
          <w:rFonts w:ascii="Times New Roman" w:hAnsi="Times New Roman" w:cs="Times New Roman"/>
          <w:sz w:val="24"/>
          <w:szCs w:val="24"/>
        </w:rPr>
        <w:t>s for swaps of a balance sheet. N</w:t>
      </w:r>
      <w:r w:rsidRPr="001D59F0">
        <w:rPr>
          <w:rFonts w:ascii="Times New Roman" w:hAnsi="Times New Roman" w:cs="Times New Roman"/>
          <w:sz w:val="24"/>
          <w:szCs w:val="24"/>
        </w:rPr>
        <w:t>atu</w:t>
      </w:r>
      <w:r>
        <w:rPr>
          <w:rFonts w:ascii="Times New Roman" w:hAnsi="Times New Roman" w:cs="Times New Roman"/>
          <w:sz w:val="24"/>
          <w:szCs w:val="24"/>
        </w:rPr>
        <w:t xml:space="preserve">ral language processing tools are used to track customers’ inboxes and emails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decide on assignment of</w:t>
      </w:r>
      <w:r w:rsidRPr="001D59F0">
        <w:rPr>
          <w:rFonts w:ascii="Times New Roman" w:hAnsi="Times New Roman" w:cs="Times New Roman"/>
          <w:sz w:val="24"/>
          <w:szCs w:val="24"/>
        </w:rPr>
        <w:t xml:space="preserve"> broad trad</w:t>
      </w:r>
      <w:r>
        <w:rPr>
          <w:rFonts w:ascii="Times New Roman" w:hAnsi="Times New Roman" w:cs="Times New Roman"/>
          <w:sz w:val="24"/>
          <w:szCs w:val="24"/>
        </w:rPr>
        <w:t>es between funds. A</w:t>
      </w:r>
      <w:r w:rsidRPr="001D59F0">
        <w:rPr>
          <w:rFonts w:ascii="Times New Roman" w:hAnsi="Times New Roman" w:cs="Times New Roman"/>
          <w:sz w:val="24"/>
          <w:szCs w:val="24"/>
        </w:rPr>
        <w:t>ssociations</w:t>
      </w:r>
      <w:r>
        <w:rPr>
          <w:rFonts w:ascii="Times New Roman" w:hAnsi="Times New Roman" w:cs="Times New Roman"/>
          <w:sz w:val="24"/>
          <w:szCs w:val="24"/>
        </w:rPr>
        <w:t xml:space="preserve"> between prices of assets and data to forecast cost of currency</w:t>
      </w:r>
      <w:r w:rsidRPr="001D59F0">
        <w:rPr>
          <w:rFonts w:ascii="Times New Roman" w:hAnsi="Times New Roman" w:cs="Times New Roman"/>
          <w:sz w:val="24"/>
          <w:szCs w:val="24"/>
        </w:rPr>
        <w:t xml:space="preserve"> in the future</w:t>
      </w:r>
      <w:r>
        <w:rPr>
          <w:rFonts w:ascii="Times New Roman" w:hAnsi="Times New Roman" w:cs="Times New Roman"/>
          <w:sz w:val="24"/>
          <w:szCs w:val="24"/>
        </w:rPr>
        <w:t xml:space="preserve"> is investigated by artificial intelligence. The n</w:t>
      </w:r>
      <w:r w:rsidRPr="001D59F0">
        <w:rPr>
          <w:rFonts w:ascii="Times New Roman" w:hAnsi="Times New Roman" w:cs="Times New Roman"/>
          <w:sz w:val="24"/>
          <w:szCs w:val="24"/>
        </w:rPr>
        <w:t>atural l</w:t>
      </w:r>
      <w:r>
        <w:rPr>
          <w:rFonts w:ascii="Times New Roman" w:hAnsi="Times New Roman" w:cs="Times New Roman"/>
          <w:sz w:val="24"/>
          <w:szCs w:val="24"/>
        </w:rPr>
        <w:t xml:space="preserve">anguage processing software is also able to </w:t>
      </w:r>
      <w:r w:rsidRPr="001D59F0">
        <w:rPr>
          <w:rFonts w:ascii="Times New Roman" w:hAnsi="Times New Roman" w:cs="Times New Roman"/>
          <w:sz w:val="24"/>
          <w:szCs w:val="24"/>
        </w:rPr>
        <w:t>read contracts</w:t>
      </w:r>
      <w:r>
        <w:rPr>
          <w:rFonts w:ascii="Times New Roman" w:hAnsi="Times New Roman" w:cs="Times New Roman"/>
          <w:sz w:val="24"/>
          <w:szCs w:val="24"/>
        </w:rPr>
        <w:t xml:space="preserve"> and inform customers on swap or other sales. On the buy side, computers use available data to classify</w:t>
      </w:r>
      <w:r w:rsidRPr="001D59F0">
        <w:rPr>
          <w:rFonts w:ascii="Times New Roman" w:hAnsi="Times New Roman" w:cs="Times New Roman"/>
          <w:sz w:val="24"/>
          <w:szCs w:val="24"/>
        </w:rPr>
        <w:t xml:space="preserve"> bond, asset, </w:t>
      </w:r>
      <w:r>
        <w:rPr>
          <w:rFonts w:ascii="Times New Roman" w:hAnsi="Times New Roman" w:cs="Times New Roman"/>
          <w:sz w:val="24"/>
          <w:szCs w:val="24"/>
        </w:rPr>
        <w:t xml:space="preserve">future </w:t>
      </w:r>
      <w:proofErr w:type="gramStart"/>
      <w:r>
        <w:rPr>
          <w:rFonts w:ascii="Times New Roman" w:hAnsi="Times New Roman" w:cs="Times New Roman"/>
          <w:sz w:val="24"/>
          <w:szCs w:val="24"/>
        </w:rPr>
        <w:t>stock</w:t>
      </w:r>
      <w:proofErr w:type="gramEnd"/>
      <w:r>
        <w:rPr>
          <w:rFonts w:ascii="Times New Roman" w:hAnsi="Times New Roman" w:cs="Times New Roman"/>
          <w:sz w:val="24"/>
          <w:szCs w:val="24"/>
        </w:rPr>
        <w:t xml:space="preserve"> and </w:t>
      </w:r>
      <w:r w:rsidRPr="001D59F0">
        <w:rPr>
          <w:rFonts w:ascii="Times New Roman" w:hAnsi="Times New Roman" w:cs="Times New Roman"/>
          <w:sz w:val="24"/>
          <w:szCs w:val="24"/>
        </w:rPr>
        <w:t>transactions</w:t>
      </w:r>
      <w:r>
        <w:rPr>
          <w:rFonts w:ascii="Times New Roman" w:hAnsi="Times New Roman" w:cs="Times New Roman"/>
          <w:sz w:val="24"/>
          <w:szCs w:val="24"/>
        </w:rPr>
        <w:t xml:space="preserve"> on currency. Artificial intelligence is used </w:t>
      </w:r>
      <w:r w:rsidRPr="001D59F0">
        <w:rPr>
          <w:rFonts w:ascii="Times New Roman" w:hAnsi="Times New Roman" w:cs="Times New Roman"/>
          <w:sz w:val="24"/>
          <w:szCs w:val="24"/>
        </w:rPr>
        <w:t xml:space="preserve">to </w:t>
      </w:r>
      <w:r>
        <w:rPr>
          <w:rFonts w:ascii="Times New Roman" w:hAnsi="Times New Roman" w:cs="Times New Roman"/>
          <w:sz w:val="24"/>
          <w:szCs w:val="24"/>
        </w:rPr>
        <w:t>predict the</w:t>
      </w:r>
      <w:r w:rsidRPr="001D59F0">
        <w:rPr>
          <w:rFonts w:ascii="Times New Roman" w:hAnsi="Times New Roman" w:cs="Times New Roman"/>
          <w:sz w:val="24"/>
          <w:szCs w:val="24"/>
        </w:rPr>
        <w:t xml:space="preserve"> different economic scenarios</w:t>
      </w:r>
      <w:r>
        <w:rPr>
          <w:rFonts w:ascii="Times New Roman" w:hAnsi="Times New Roman" w:cs="Times New Roman"/>
          <w:sz w:val="24"/>
          <w:szCs w:val="24"/>
        </w:rPr>
        <w:t xml:space="preserve"> and how to work in such circumstances. The data is also scrutinized</w:t>
      </w:r>
      <w:r w:rsidRPr="001D59F0">
        <w:rPr>
          <w:rFonts w:ascii="Times New Roman" w:hAnsi="Times New Roman" w:cs="Times New Roman"/>
          <w:sz w:val="24"/>
          <w:szCs w:val="24"/>
        </w:rPr>
        <w:t xml:space="preserve"> to </w:t>
      </w:r>
      <w:r>
        <w:rPr>
          <w:rFonts w:ascii="Times New Roman" w:hAnsi="Times New Roman" w:cs="Times New Roman"/>
          <w:sz w:val="24"/>
          <w:szCs w:val="24"/>
        </w:rPr>
        <w:t xml:space="preserve">identify trades, construct </w:t>
      </w:r>
      <w:proofErr w:type="gramStart"/>
      <w:r>
        <w:rPr>
          <w:rFonts w:ascii="Times New Roman" w:hAnsi="Times New Roman" w:cs="Times New Roman"/>
          <w:sz w:val="24"/>
          <w:szCs w:val="24"/>
        </w:rPr>
        <w:t>portfolios</w:t>
      </w:r>
      <w:proofErr w:type="gramEnd"/>
      <w:r>
        <w:rPr>
          <w:rFonts w:ascii="Times New Roman" w:hAnsi="Times New Roman" w:cs="Times New Roman"/>
          <w:sz w:val="24"/>
          <w:szCs w:val="24"/>
        </w:rPr>
        <w:t xml:space="preserve"> and examine length of wagers. AI </w:t>
      </w:r>
      <w:r w:rsidRPr="001D59F0">
        <w:rPr>
          <w:rFonts w:ascii="Times New Roman" w:hAnsi="Times New Roman" w:cs="Times New Roman"/>
          <w:sz w:val="24"/>
          <w:szCs w:val="24"/>
        </w:rPr>
        <w:t>algorithm</w:t>
      </w:r>
      <w:r>
        <w:rPr>
          <w:rFonts w:ascii="Times New Roman" w:hAnsi="Times New Roman" w:cs="Times New Roman"/>
          <w:sz w:val="24"/>
          <w:szCs w:val="24"/>
        </w:rPr>
        <w:t>s interpret data from market shifts to transact in accordance</w:t>
      </w:r>
      <w:r w:rsidRPr="001D59F0">
        <w:rPr>
          <w:rFonts w:ascii="Times New Roman" w:hAnsi="Times New Roman" w:cs="Times New Roman"/>
          <w:sz w:val="24"/>
          <w:szCs w:val="24"/>
        </w:rPr>
        <w:t xml:space="preserve">. </w:t>
      </w:r>
      <w:r>
        <w:rPr>
          <w:rFonts w:ascii="Times New Roman" w:hAnsi="Times New Roman" w:cs="Times New Roman"/>
          <w:sz w:val="24"/>
          <w:szCs w:val="24"/>
        </w:rPr>
        <w:t>The a</w:t>
      </w:r>
      <w:r w:rsidRPr="001D59F0">
        <w:rPr>
          <w:rFonts w:ascii="Times New Roman" w:hAnsi="Times New Roman" w:cs="Times New Roman"/>
          <w:sz w:val="24"/>
          <w:szCs w:val="24"/>
        </w:rPr>
        <w:t>lgorithms evalua</w:t>
      </w:r>
      <w:r>
        <w:rPr>
          <w:rFonts w:ascii="Times New Roman" w:hAnsi="Times New Roman" w:cs="Times New Roman"/>
          <w:sz w:val="24"/>
          <w:szCs w:val="24"/>
        </w:rPr>
        <w:t xml:space="preserve">te customers’ attitude to </w:t>
      </w:r>
      <w:r w:rsidRPr="001D59F0">
        <w:rPr>
          <w:rFonts w:ascii="Times New Roman" w:hAnsi="Times New Roman" w:cs="Times New Roman"/>
          <w:sz w:val="24"/>
          <w:szCs w:val="24"/>
        </w:rPr>
        <w:t>produ</w:t>
      </w:r>
      <w:r>
        <w:rPr>
          <w:rFonts w:ascii="Times New Roman" w:hAnsi="Times New Roman" w:cs="Times New Roman"/>
          <w:sz w:val="24"/>
          <w:szCs w:val="24"/>
        </w:rPr>
        <w:t>cts. E</w:t>
      </w:r>
      <w:r w:rsidRPr="001D59F0">
        <w:rPr>
          <w:rFonts w:ascii="Times New Roman" w:hAnsi="Times New Roman" w:cs="Times New Roman"/>
          <w:sz w:val="24"/>
          <w:szCs w:val="24"/>
        </w:rPr>
        <w:t>conomic patterns</w:t>
      </w:r>
      <w:r>
        <w:rPr>
          <w:rFonts w:ascii="Times New Roman" w:hAnsi="Times New Roman" w:cs="Times New Roman"/>
          <w:sz w:val="24"/>
          <w:szCs w:val="24"/>
        </w:rPr>
        <w:t xml:space="preserve"> can also be monitored using satellite images</w:t>
      </w:r>
      <w:r w:rsidRPr="001D59F0">
        <w:rPr>
          <w:rFonts w:ascii="Times New Roman" w:hAnsi="Times New Roman" w:cs="Times New Roman"/>
          <w:sz w:val="24"/>
          <w:szCs w:val="24"/>
        </w:rPr>
        <w:t>. Natural language proc</w:t>
      </w:r>
      <w:r>
        <w:rPr>
          <w:rFonts w:ascii="Times New Roman" w:hAnsi="Times New Roman" w:cs="Times New Roman"/>
          <w:sz w:val="24"/>
          <w:szCs w:val="24"/>
        </w:rPr>
        <w:t>essing software helps in analysis of transcripts, social media tracking and news reading. Generally</w:t>
      </w:r>
      <w:r w:rsidRPr="001D59F0">
        <w:rPr>
          <w:rFonts w:ascii="Times New Roman" w:hAnsi="Times New Roman" w:cs="Times New Roman"/>
          <w:sz w:val="24"/>
          <w:szCs w:val="24"/>
        </w:rPr>
        <w:t>, financial institut</w:t>
      </w:r>
      <w:r>
        <w:rPr>
          <w:rFonts w:ascii="Times New Roman" w:hAnsi="Times New Roman" w:cs="Times New Roman"/>
          <w:sz w:val="24"/>
          <w:szCs w:val="24"/>
        </w:rPr>
        <w:t xml:space="preserve">ions use AI </w:t>
      </w:r>
      <w:r w:rsidRPr="001D59F0">
        <w:rPr>
          <w:rFonts w:ascii="Times New Roman" w:hAnsi="Times New Roman" w:cs="Times New Roman"/>
          <w:sz w:val="24"/>
          <w:szCs w:val="24"/>
        </w:rPr>
        <w:t xml:space="preserve">in different ways to </w:t>
      </w:r>
      <w:r>
        <w:rPr>
          <w:rFonts w:ascii="Times New Roman" w:hAnsi="Times New Roman" w:cs="Times New Roman"/>
          <w:sz w:val="24"/>
          <w:szCs w:val="24"/>
        </w:rPr>
        <w:t xml:space="preserve">enhance their work. With the </w:t>
      </w:r>
      <w:r w:rsidRPr="001D59F0">
        <w:rPr>
          <w:rFonts w:ascii="Times New Roman" w:hAnsi="Times New Roman" w:cs="Times New Roman"/>
          <w:sz w:val="24"/>
          <w:szCs w:val="24"/>
        </w:rPr>
        <w:t>new age, technol</w:t>
      </w:r>
      <w:r>
        <w:rPr>
          <w:rFonts w:ascii="Times New Roman" w:hAnsi="Times New Roman" w:cs="Times New Roman"/>
          <w:sz w:val="24"/>
          <w:szCs w:val="24"/>
        </w:rPr>
        <w:t xml:space="preserve">ogy </w:t>
      </w:r>
      <w:proofErr w:type="gramStart"/>
      <w:r>
        <w:rPr>
          <w:rFonts w:ascii="Times New Roman" w:hAnsi="Times New Roman" w:cs="Times New Roman"/>
          <w:sz w:val="24"/>
          <w:szCs w:val="24"/>
        </w:rPr>
        <w:t>will continually to</w:t>
      </w:r>
      <w:proofErr w:type="gramEnd"/>
      <w:r>
        <w:rPr>
          <w:rFonts w:ascii="Times New Roman" w:hAnsi="Times New Roman" w:cs="Times New Roman"/>
          <w:sz w:val="24"/>
          <w:szCs w:val="24"/>
        </w:rPr>
        <w:t xml:space="preserve"> increase in the finance sector</w:t>
      </w:r>
      <w:r w:rsidRPr="001D59F0">
        <w:rPr>
          <w:rFonts w:ascii="Times New Roman" w:hAnsi="Times New Roman" w:cs="Times New Roman"/>
          <w:sz w:val="24"/>
          <w:szCs w:val="24"/>
        </w:rPr>
        <w:t>.</w:t>
      </w:r>
    </w:p>
    <w:p w14:paraId="5BBB9FDA" w14:textId="77777777" w:rsidR="00316C3B" w:rsidRDefault="00316C3B" w:rsidP="00316C3B">
      <w:pPr>
        <w:spacing w:line="360" w:lineRule="auto"/>
        <w:jc w:val="both"/>
        <w:rPr>
          <w:rFonts w:ascii="Times New Roman" w:hAnsi="Times New Roman" w:cs="Times New Roman"/>
          <w:sz w:val="24"/>
          <w:szCs w:val="24"/>
        </w:rPr>
      </w:pPr>
    </w:p>
    <w:p w14:paraId="47F04A6F" w14:textId="77777777" w:rsidR="00316C3B" w:rsidRDefault="00316C3B" w:rsidP="00316C3B">
      <w:pPr>
        <w:spacing w:line="360" w:lineRule="auto"/>
        <w:jc w:val="both"/>
        <w:rPr>
          <w:rFonts w:ascii="Times New Roman" w:hAnsi="Times New Roman" w:cs="Times New Roman"/>
          <w:sz w:val="24"/>
          <w:szCs w:val="24"/>
        </w:rPr>
      </w:pPr>
    </w:p>
    <w:p w14:paraId="68644ECD" w14:textId="4FCDFEB0" w:rsidR="00316C3B" w:rsidRDefault="00316C3B" w:rsidP="00316C3B">
      <w:pPr>
        <w:spacing w:line="360" w:lineRule="auto"/>
        <w:jc w:val="both"/>
        <w:rPr>
          <w:rFonts w:ascii="Times New Roman" w:hAnsi="Times New Roman" w:cs="Times New Roman"/>
          <w:sz w:val="24"/>
          <w:szCs w:val="24"/>
        </w:rPr>
      </w:pPr>
    </w:p>
    <w:p w14:paraId="2CB074C3" w14:textId="77777777" w:rsidR="00316C3B" w:rsidRDefault="00316C3B" w:rsidP="00316C3B">
      <w:pPr>
        <w:spacing w:line="360" w:lineRule="auto"/>
        <w:jc w:val="both"/>
        <w:rPr>
          <w:rFonts w:ascii="Times New Roman" w:hAnsi="Times New Roman" w:cs="Times New Roman"/>
          <w:sz w:val="24"/>
          <w:szCs w:val="24"/>
        </w:rPr>
      </w:pPr>
    </w:p>
    <w:p w14:paraId="6B2FFD70" w14:textId="77777777" w:rsidR="00316C3B" w:rsidRDefault="00316C3B" w:rsidP="00316C3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Parametric Pricing</w:t>
      </w:r>
    </w:p>
    <w:p w14:paraId="2B1AB244" w14:textId="77777777" w:rsidR="00316C3B" w:rsidRPr="005F66B2" w:rsidRDefault="00316C3B" w:rsidP="00316C3B">
      <w:pPr>
        <w:spacing w:line="360" w:lineRule="auto"/>
        <w:jc w:val="both"/>
        <w:rPr>
          <w:rFonts w:ascii="Times New Roman" w:hAnsi="Times New Roman" w:cs="Times New Roman"/>
          <w:sz w:val="24"/>
          <w:szCs w:val="24"/>
        </w:rPr>
      </w:pPr>
      <w:proofErr w:type="spellStart"/>
      <w:r w:rsidRPr="00264DB1">
        <w:rPr>
          <w:rFonts w:ascii="Times New Roman" w:eastAsia="Times New Roman" w:hAnsi="Times New Roman"/>
          <w:sz w:val="24"/>
          <w:szCs w:val="24"/>
        </w:rPr>
        <w:t>Bakshi</w:t>
      </w:r>
      <w:proofErr w:type="spellEnd"/>
      <w:r w:rsidRPr="00264DB1">
        <w:rPr>
          <w:rFonts w:ascii="Times New Roman" w:eastAsia="Times New Roman" w:hAnsi="Times New Roman"/>
          <w:sz w:val="24"/>
          <w:szCs w:val="24"/>
        </w:rPr>
        <w:t xml:space="preserve"> et al. (1997) gives an underlying payment non-dividend stock price S(t) and its compounds in an economy that is risk neutral. In the </w:t>
      </w:r>
      <w:proofErr w:type="spellStart"/>
      <w:r w:rsidRPr="00264DB1">
        <w:rPr>
          <w:rFonts w:ascii="Times New Roman" w:eastAsia="Times New Roman" w:hAnsi="Times New Roman"/>
          <w:sz w:val="24"/>
          <w:szCs w:val="24"/>
        </w:rPr>
        <w:t>formula,R</w:t>
      </w:r>
      <w:proofErr w:type="spellEnd"/>
      <w:r w:rsidRPr="00264DB1">
        <w:rPr>
          <w:rFonts w:ascii="Times New Roman" w:eastAsia="Times New Roman" w:hAnsi="Times New Roman"/>
          <w:sz w:val="24"/>
          <w:szCs w:val="24"/>
        </w:rPr>
        <w:t xml:space="preserve">(t) represents time-t instant spot interest rate; π represents total jumps in a year; diffusion portion of the stock return variance is represented by V(t) based on jumps not occurring); regular Brownian motion are each represented by </w:t>
      </w:r>
      <w:proofErr w:type="spellStart"/>
      <w:r w:rsidRPr="00264DB1">
        <w:rPr>
          <w:rFonts w:ascii="Times New Roman" w:eastAsia="Times New Roman" w:hAnsi="Times New Roman"/>
          <w:sz w:val="24"/>
          <w:szCs w:val="24"/>
        </w:rPr>
        <w:t>wv</w:t>
      </w:r>
      <w:proofErr w:type="spellEnd"/>
      <w:r w:rsidRPr="00264DB1">
        <w:rPr>
          <w:rFonts w:ascii="Times New Roman" w:eastAsia="Times New Roman" w:hAnsi="Times New Roman"/>
          <w:sz w:val="24"/>
          <w:szCs w:val="24"/>
        </w:rPr>
        <w:t xml:space="preserve">(t) and </w:t>
      </w:r>
      <w:proofErr w:type="spellStart"/>
      <w:r w:rsidRPr="00264DB1">
        <w:rPr>
          <w:rFonts w:ascii="Times New Roman" w:eastAsia="Times New Roman" w:hAnsi="Times New Roman"/>
          <w:sz w:val="24"/>
          <w:szCs w:val="24"/>
        </w:rPr>
        <w:t>ws</w:t>
      </w:r>
      <w:proofErr w:type="spellEnd"/>
      <w:r w:rsidRPr="00264DB1">
        <w:rPr>
          <w:rFonts w:ascii="Times New Roman" w:eastAsia="Times New Roman" w:hAnsi="Times New Roman"/>
          <w:sz w:val="24"/>
          <w:szCs w:val="24"/>
        </w:rPr>
        <w:t>(t), and</w:t>
      </w:r>
      <w:r>
        <w:rPr>
          <w:rFonts w:ascii="Times New Roman" w:eastAsia="Times New Roman" w:hAnsi="Times New Roman"/>
          <w:sz w:val="24"/>
          <w:szCs w:val="24"/>
        </w:rPr>
        <w:t xml:space="preserve"> </w:t>
      </w:r>
      <w:proofErr w:type="spellStart"/>
      <w:r w:rsidRPr="00264DB1">
        <w:rPr>
          <w:rFonts w:ascii="Times New Roman" w:eastAsia="Times New Roman" w:hAnsi="Times New Roman"/>
          <w:sz w:val="24"/>
          <w:szCs w:val="24"/>
        </w:rPr>
        <w:t>Covt</w:t>
      </w:r>
      <w:proofErr w:type="spellEnd"/>
      <w:r w:rsidRPr="00264DB1">
        <w:rPr>
          <w:rFonts w:ascii="Times New Roman" w:eastAsia="Times New Roman" w:hAnsi="Times New Roman"/>
          <w:sz w:val="24"/>
          <w:szCs w:val="24"/>
        </w:rPr>
        <w:t xml:space="preserve"> [</w:t>
      </w:r>
      <w:proofErr w:type="spellStart"/>
      <w:r w:rsidRPr="00264DB1">
        <w:rPr>
          <w:rFonts w:ascii="Times New Roman" w:eastAsia="Times New Roman" w:hAnsi="Times New Roman"/>
          <w:sz w:val="24"/>
          <w:szCs w:val="24"/>
        </w:rPr>
        <w:t>dwS</w:t>
      </w:r>
      <w:proofErr w:type="spellEnd"/>
      <w:r w:rsidRPr="00264DB1">
        <w:rPr>
          <w:rFonts w:ascii="Times New Roman" w:eastAsia="Times New Roman" w:hAnsi="Times New Roman"/>
          <w:sz w:val="24"/>
          <w:szCs w:val="24"/>
        </w:rPr>
        <w:t>(t),</w:t>
      </w:r>
      <w:proofErr w:type="spellStart"/>
      <w:r w:rsidRPr="00264DB1">
        <w:rPr>
          <w:rFonts w:ascii="Times New Roman" w:eastAsia="Times New Roman" w:hAnsi="Times New Roman"/>
          <w:sz w:val="24"/>
          <w:szCs w:val="24"/>
        </w:rPr>
        <w:t>dwv</w:t>
      </w:r>
      <w:proofErr w:type="spellEnd"/>
      <w:r w:rsidRPr="00264DB1">
        <w:rPr>
          <w:rFonts w:ascii="Times New Roman" w:eastAsia="Times New Roman" w:hAnsi="Times New Roman"/>
          <w:sz w:val="24"/>
          <w:szCs w:val="24"/>
        </w:rPr>
        <w:t>(t)] πdt; the jump size percentage is J(s) based on occurrence of a jump) which is identically and independently distributed log normally.</w:t>
      </w:r>
      <w:r>
        <w:rPr>
          <w:rFonts w:ascii="Times New Roman" w:eastAsia="Times New Roman" w:hAnsi="Times New Roman"/>
          <w:sz w:val="24"/>
          <w:szCs w:val="24"/>
        </w:rPr>
        <w:t xml:space="preserve"> </w:t>
      </w:r>
      <w:proofErr w:type="gramStart"/>
      <w:r w:rsidRPr="00264DB1">
        <w:rPr>
          <w:rFonts w:ascii="Times New Roman" w:eastAsia="Times New Roman" w:hAnsi="Times New Roman"/>
          <w:sz w:val="24"/>
          <w:szCs w:val="24"/>
        </w:rPr>
        <w:t>ln[</w:t>
      </w:r>
      <w:proofErr w:type="gramEnd"/>
      <w:r w:rsidRPr="00264DB1">
        <w:rPr>
          <w:rFonts w:ascii="Times New Roman" w:eastAsia="Times New Roman" w:hAnsi="Times New Roman"/>
          <w:sz w:val="24"/>
          <w:szCs w:val="24"/>
        </w:rPr>
        <w:t xml:space="preserve">1 + J(t)] standard deviation is πJ, amplitude Poisson jump counter is q(t) where </w:t>
      </w:r>
      <w:proofErr w:type="spellStart"/>
      <w:r w:rsidRPr="00264DB1">
        <w:rPr>
          <w:rFonts w:ascii="Times New Roman" w:eastAsia="Times New Roman" w:hAnsi="Times New Roman"/>
          <w:sz w:val="24"/>
          <w:szCs w:val="24"/>
        </w:rPr>
        <w:t>Pr</w:t>
      </w:r>
      <w:proofErr w:type="spellEnd"/>
      <w:r w:rsidRPr="00264DB1">
        <w:rPr>
          <w:rFonts w:ascii="Times New Roman" w:eastAsia="Times New Roman" w:hAnsi="Times New Roman"/>
          <w:sz w:val="24"/>
          <w:szCs w:val="24"/>
        </w:rPr>
        <w:t>(</w:t>
      </w:r>
      <w:proofErr w:type="spellStart"/>
      <w:r w:rsidRPr="00264DB1">
        <w:rPr>
          <w:rFonts w:ascii="Times New Roman" w:eastAsia="Times New Roman" w:hAnsi="Times New Roman"/>
          <w:sz w:val="24"/>
          <w:szCs w:val="24"/>
        </w:rPr>
        <w:t>dq</w:t>
      </w:r>
      <w:proofErr w:type="spellEnd"/>
      <w:r w:rsidRPr="00264DB1">
        <w:rPr>
          <w:rFonts w:ascii="Times New Roman" w:eastAsia="Times New Roman" w:hAnsi="Times New Roman"/>
          <w:sz w:val="24"/>
          <w:szCs w:val="24"/>
        </w:rPr>
        <w:t xml:space="preserve">(t) = 1) = πdt, and </w:t>
      </w:r>
      <w:proofErr w:type="spellStart"/>
      <w:r w:rsidRPr="00264DB1">
        <w:rPr>
          <w:rFonts w:ascii="Times New Roman" w:eastAsia="Times New Roman" w:hAnsi="Times New Roman"/>
          <w:sz w:val="24"/>
          <w:szCs w:val="24"/>
        </w:rPr>
        <w:t>Pr</w:t>
      </w:r>
      <w:proofErr w:type="spellEnd"/>
      <w:r w:rsidRPr="00264DB1">
        <w:rPr>
          <w:rFonts w:ascii="Times New Roman" w:eastAsia="Times New Roman" w:hAnsi="Times New Roman"/>
          <w:sz w:val="24"/>
          <w:szCs w:val="24"/>
        </w:rPr>
        <w:t>(</w:t>
      </w:r>
      <w:proofErr w:type="spellStart"/>
      <w:r w:rsidRPr="00264DB1">
        <w:rPr>
          <w:rFonts w:ascii="Times New Roman" w:eastAsia="Times New Roman" w:hAnsi="Times New Roman"/>
          <w:sz w:val="24"/>
          <w:szCs w:val="24"/>
        </w:rPr>
        <w:t>dq</w:t>
      </w:r>
      <w:proofErr w:type="spellEnd"/>
      <w:r w:rsidRPr="00264DB1">
        <w:rPr>
          <w:rFonts w:ascii="Times New Roman" w:eastAsia="Times New Roman" w:hAnsi="Times New Roman"/>
          <w:sz w:val="24"/>
          <w:szCs w:val="24"/>
        </w:rPr>
        <w:t xml:space="preserve">(t) = 0) = 1 −αdt. The velocity of the diffusion </w:t>
      </w:r>
      <w:proofErr w:type="gramStart"/>
      <w:r w:rsidRPr="00264DB1">
        <w:rPr>
          <w:rFonts w:ascii="Times New Roman" w:eastAsia="Times New Roman" w:hAnsi="Times New Roman"/>
          <w:sz w:val="24"/>
          <w:szCs w:val="24"/>
        </w:rPr>
        <w:t>are</w:t>
      </w:r>
      <w:proofErr w:type="gramEnd"/>
      <w:r w:rsidRPr="00264DB1">
        <w:rPr>
          <w:rFonts w:ascii="Times New Roman" w:eastAsia="Times New Roman" w:hAnsi="Times New Roman"/>
          <w:sz w:val="24"/>
          <w:szCs w:val="24"/>
        </w:rPr>
        <w:t xml:space="preserve"> velocity of change, the mean long run and variance coefficient of diffusion volatility V(t) respectively. </w:t>
      </w:r>
      <w:proofErr w:type="spellStart"/>
      <w:r w:rsidRPr="00264DB1">
        <w:rPr>
          <w:rFonts w:ascii="Times New Roman" w:eastAsia="Times New Roman" w:hAnsi="Times New Roman"/>
          <w:sz w:val="24"/>
          <w:szCs w:val="24"/>
        </w:rPr>
        <w:t>ws</w:t>
      </w:r>
      <w:proofErr w:type="spellEnd"/>
      <w:r w:rsidRPr="00264DB1">
        <w:rPr>
          <w:rFonts w:ascii="Times New Roman" w:eastAsia="Times New Roman" w:hAnsi="Times New Roman"/>
          <w:sz w:val="24"/>
          <w:szCs w:val="24"/>
        </w:rPr>
        <w:t xml:space="preserve">(t) and </w:t>
      </w:r>
      <w:proofErr w:type="spellStart"/>
      <w:r w:rsidRPr="00264DB1">
        <w:rPr>
          <w:rFonts w:ascii="Times New Roman" w:eastAsia="Times New Roman" w:hAnsi="Times New Roman"/>
          <w:sz w:val="24"/>
          <w:szCs w:val="24"/>
        </w:rPr>
        <w:t>wv</w:t>
      </w:r>
      <w:proofErr w:type="spellEnd"/>
      <w:r w:rsidRPr="00264DB1">
        <w:rPr>
          <w:rFonts w:ascii="Times New Roman" w:eastAsia="Times New Roman" w:hAnsi="Times New Roman"/>
          <w:sz w:val="24"/>
          <w:szCs w:val="24"/>
        </w:rPr>
        <w:t>(t) as well as q(t) and J(t) are both uncorrelated. In such a setting, total return variance can be divided to two components.</w:t>
      </w:r>
      <w:r w:rsidRPr="00302299">
        <w:rPr>
          <w:rFonts w:ascii="Times New Roman" w:eastAsia="Times New Roman" w:hAnsi="Times New Roman" w:cs="Times New Roman"/>
          <w:sz w:val="24"/>
          <w:szCs w:val="24"/>
        </w:rPr>
        <w:t xml:space="preserve"> In this case, VJ(t</w:t>
      </w:r>
      <w:proofErr w:type="gramStart"/>
      <w:r w:rsidRPr="00302299">
        <w:rPr>
          <w:rFonts w:ascii="Times New Roman" w:eastAsia="Times New Roman" w:hAnsi="Times New Roman" w:cs="Times New Roman"/>
          <w:sz w:val="24"/>
          <w:szCs w:val="24"/>
        </w:rPr>
        <w:t>)(</w:t>
      </w:r>
      <w:proofErr w:type="gramEnd"/>
      <w:r w:rsidRPr="00302299">
        <w:rPr>
          <w:rFonts w:ascii="Times New Roman" w:eastAsia="Times New Roman" w:hAnsi="Times New Roman" w:cs="Times New Roman"/>
          <w:sz w:val="24"/>
          <w:szCs w:val="24"/>
        </w:rPr>
        <w:t>1 / dt)</w:t>
      </w:r>
      <w:proofErr w:type="spellStart"/>
      <w:r w:rsidRPr="00302299">
        <w:rPr>
          <w:rFonts w:ascii="Times New Roman" w:eastAsia="Times New Roman" w:hAnsi="Times New Roman" w:cs="Times New Roman"/>
          <w:sz w:val="24"/>
          <w:szCs w:val="24"/>
        </w:rPr>
        <w:t>Vart</w:t>
      </w:r>
      <w:proofErr w:type="spellEnd"/>
      <w:r w:rsidRPr="00302299">
        <w:rPr>
          <w:rFonts w:ascii="Times New Roman" w:eastAsia="Times New Roman" w:hAnsi="Times New Roman" w:cs="Times New Roman"/>
          <w:sz w:val="24"/>
          <w:szCs w:val="24"/>
        </w:rPr>
        <w:t xml:space="preserve"> [J(t)</w:t>
      </w:r>
      <w:proofErr w:type="spellStart"/>
      <w:r w:rsidRPr="00302299">
        <w:rPr>
          <w:rFonts w:ascii="Times New Roman" w:eastAsia="Times New Roman" w:hAnsi="Times New Roman" w:cs="Times New Roman"/>
          <w:sz w:val="24"/>
          <w:szCs w:val="24"/>
        </w:rPr>
        <w:t>dq</w:t>
      </w:r>
      <w:proofErr w:type="spellEnd"/>
      <w:r w:rsidRPr="00302299">
        <w:rPr>
          <w:rFonts w:ascii="Times New Roman" w:eastAsia="Times New Roman" w:hAnsi="Times New Roman" w:cs="Times New Roman"/>
          <w:sz w:val="24"/>
          <w:szCs w:val="24"/>
        </w:rPr>
        <w:t xml:space="preserve">(t)] = π[μ2J+(eπ2J − 1)(1 + </w:t>
      </w:r>
      <w:proofErr w:type="spellStart"/>
      <w:r w:rsidRPr="00302299">
        <w:rPr>
          <w:rFonts w:ascii="Times New Roman" w:eastAsia="Times New Roman" w:hAnsi="Times New Roman" w:cs="Times New Roman"/>
          <w:sz w:val="24"/>
          <w:szCs w:val="24"/>
        </w:rPr>
        <w:t>μJ</w:t>
      </w:r>
      <w:proofErr w:type="spellEnd"/>
      <w:r w:rsidRPr="00302299">
        <w:rPr>
          <w:rFonts w:ascii="Times New Roman" w:eastAsia="Times New Roman" w:hAnsi="Times New Roman" w:cs="Times New Roman"/>
          <w:sz w:val="24"/>
          <w:szCs w:val="24"/>
        </w:rPr>
        <w:t>)2] is the jump portion variance. The one-factor structure model is followed by potential cash flows discounting (Cox et al., 1985)</w:t>
      </w:r>
    </w:p>
    <w:p w14:paraId="3A35A8DB" w14:textId="77777777" w:rsidR="00316C3B" w:rsidRPr="00302299" w:rsidRDefault="00316C3B" w:rsidP="00316C3B">
      <w:pPr>
        <w:spacing w:line="360" w:lineRule="auto"/>
        <w:rPr>
          <w:rFonts w:ascii="Times New Roman" w:eastAsia="Times New Roman" w:hAnsi="Times New Roman" w:cs="Times New Roman"/>
          <w:sz w:val="24"/>
          <w:szCs w:val="24"/>
        </w:rPr>
      </w:pPr>
    </w:p>
    <w:tbl>
      <w:tblPr>
        <w:tblW w:w="0" w:type="auto"/>
        <w:tblInd w:w="2940" w:type="dxa"/>
        <w:tblLayout w:type="fixed"/>
        <w:tblCellMar>
          <w:left w:w="0" w:type="dxa"/>
          <w:right w:w="0" w:type="dxa"/>
        </w:tblCellMar>
        <w:tblLook w:val="0000" w:firstRow="0" w:lastRow="0" w:firstColumn="0" w:lastColumn="0" w:noHBand="0" w:noVBand="0"/>
      </w:tblPr>
      <w:tblGrid>
        <w:gridCol w:w="4460"/>
        <w:gridCol w:w="1240"/>
      </w:tblGrid>
      <w:tr w:rsidR="00316C3B" w:rsidRPr="00302299" w14:paraId="3E567AAF" w14:textId="77777777" w:rsidTr="004D1AB4">
        <w:trPr>
          <w:trHeight w:val="443"/>
        </w:trPr>
        <w:tc>
          <w:tcPr>
            <w:tcW w:w="4460" w:type="dxa"/>
            <w:shd w:val="clear" w:color="auto" w:fill="auto"/>
            <w:vAlign w:val="bottom"/>
          </w:tcPr>
          <w:p w14:paraId="379B9E58" w14:textId="77777777" w:rsidR="00316C3B" w:rsidRPr="00302299" w:rsidRDefault="00316C3B" w:rsidP="004D1AB4">
            <w:pPr>
              <w:spacing w:line="360" w:lineRule="auto"/>
              <w:rPr>
                <w:rFonts w:ascii="Times New Roman" w:eastAsia="Times New Roman" w:hAnsi="Times New Roman" w:cs="Times New Roman"/>
                <w:sz w:val="24"/>
                <w:szCs w:val="24"/>
              </w:rPr>
            </w:pPr>
            <w:proofErr w:type="spellStart"/>
            <w:r w:rsidRPr="00302299">
              <w:rPr>
                <w:rFonts w:ascii="Times New Roman" w:eastAsia="Times New Roman" w:hAnsi="Times New Roman" w:cs="Times New Roman"/>
                <w:i/>
                <w:sz w:val="24"/>
                <w:szCs w:val="24"/>
              </w:rPr>
              <w:t>dR</w:t>
            </w:r>
            <w:proofErr w:type="spellEnd"/>
            <w:r w:rsidRPr="00302299">
              <w:rPr>
                <w:rFonts w:ascii="Times New Roman" w:eastAsia="Times New Roman" w:hAnsi="Times New Roman" w:cs="Times New Roman"/>
                <w:sz w:val="24"/>
                <w:szCs w:val="24"/>
              </w:rPr>
              <w:t>(</w:t>
            </w:r>
            <w:r w:rsidRPr="00302299">
              <w:rPr>
                <w:rFonts w:ascii="Times New Roman" w:eastAsia="Times New Roman" w:hAnsi="Times New Roman" w:cs="Times New Roman"/>
                <w:i/>
                <w:sz w:val="24"/>
                <w:szCs w:val="24"/>
              </w:rPr>
              <w:t>t</w:t>
            </w:r>
            <w:r w:rsidRPr="00302299">
              <w:rPr>
                <w:rFonts w:ascii="Times New Roman" w:eastAsia="Times New Roman" w:hAnsi="Times New Roman" w:cs="Times New Roman"/>
                <w:sz w:val="24"/>
                <w:szCs w:val="24"/>
              </w:rPr>
              <w:t>)</w:t>
            </w:r>
            <w:r w:rsidRPr="00302299">
              <w:rPr>
                <w:rFonts w:ascii="Times New Roman" w:eastAsia="Arial" w:hAnsi="Times New Roman" w:cs="Times New Roman"/>
                <w:sz w:val="24"/>
                <w:szCs w:val="24"/>
              </w:rPr>
              <w:t>=</w:t>
            </w:r>
            <w:r w:rsidRPr="00302299">
              <w:rPr>
                <w:rFonts w:ascii="Times New Roman" w:eastAsia="Times New Roman" w:hAnsi="Times New Roman" w:cs="Times New Roman"/>
                <w:sz w:val="24"/>
                <w:szCs w:val="24"/>
              </w:rPr>
              <w:t>[</w:t>
            </w:r>
            <w:proofErr w:type="spellStart"/>
            <w:r w:rsidRPr="00302299">
              <w:rPr>
                <w:rFonts w:ascii="Times New Roman" w:eastAsia="Arial" w:hAnsi="Times New Roman" w:cs="Times New Roman"/>
                <w:sz w:val="24"/>
                <w:szCs w:val="24"/>
              </w:rPr>
              <w:t>θ</w:t>
            </w:r>
            <w:r w:rsidRPr="00302299">
              <w:rPr>
                <w:rFonts w:ascii="Times New Roman" w:eastAsia="Times New Roman" w:hAnsi="Times New Roman" w:cs="Times New Roman"/>
                <w:i/>
                <w:sz w:val="24"/>
                <w:szCs w:val="24"/>
                <w:vertAlign w:val="subscript"/>
              </w:rPr>
              <w:t>R</w:t>
            </w:r>
            <w:r w:rsidRPr="00302299">
              <w:rPr>
                <w:rFonts w:ascii="Times New Roman" w:eastAsia="Arial" w:hAnsi="Times New Roman" w:cs="Times New Roman"/>
                <w:sz w:val="24"/>
                <w:szCs w:val="24"/>
              </w:rPr>
              <w:t>−κ</w:t>
            </w:r>
            <w:r w:rsidRPr="00302299">
              <w:rPr>
                <w:rFonts w:ascii="Times New Roman" w:eastAsia="Times New Roman" w:hAnsi="Times New Roman" w:cs="Times New Roman"/>
                <w:i/>
                <w:sz w:val="24"/>
                <w:szCs w:val="24"/>
                <w:vertAlign w:val="subscript"/>
              </w:rPr>
              <w:t>R</w:t>
            </w:r>
            <w:r w:rsidRPr="00302299">
              <w:rPr>
                <w:rFonts w:ascii="Times New Roman" w:eastAsia="Times New Roman" w:hAnsi="Times New Roman" w:cs="Times New Roman"/>
                <w:i/>
                <w:sz w:val="24"/>
                <w:szCs w:val="24"/>
              </w:rPr>
              <w:t>R</w:t>
            </w:r>
            <w:proofErr w:type="spellEnd"/>
            <w:r w:rsidRPr="00302299">
              <w:rPr>
                <w:rFonts w:ascii="Times New Roman" w:eastAsia="Times New Roman" w:hAnsi="Times New Roman" w:cs="Times New Roman"/>
                <w:sz w:val="24"/>
                <w:szCs w:val="24"/>
              </w:rPr>
              <w:t>(</w:t>
            </w:r>
            <w:r w:rsidRPr="00302299">
              <w:rPr>
                <w:rFonts w:ascii="Times New Roman" w:eastAsia="Times New Roman" w:hAnsi="Times New Roman" w:cs="Times New Roman"/>
                <w:i/>
                <w:sz w:val="24"/>
                <w:szCs w:val="24"/>
              </w:rPr>
              <w:t>t</w:t>
            </w:r>
            <w:proofErr w:type="gramStart"/>
            <w:r w:rsidRPr="00302299">
              <w:rPr>
                <w:rFonts w:ascii="Times New Roman" w:eastAsia="Times New Roman" w:hAnsi="Times New Roman" w:cs="Times New Roman"/>
                <w:sz w:val="24"/>
                <w:szCs w:val="24"/>
              </w:rPr>
              <w:t>)]</w:t>
            </w:r>
            <w:proofErr w:type="spellStart"/>
            <w:r w:rsidRPr="00302299">
              <w:rPr>
                <w:rFonts w:ascii="Times New Roman" w:eastAsia="Times New Roman" w:hAnsi="Times New Roman" w:cs="Times New Roman"/>
                <w:i/>
                <w:sz w:val="24"/>
                <w:szCs w:val="24"/>
              </w:rPr>
              <w:t>dt</w:t>
            </w:r>
            <w:proofErr w:type="gramEnd"/>
            <w:r w:rsidRPr="00302299">
              <w:rPr>
                <w:rFonts w:ascii="Times New Roman" w:eastAsia="Arial" w:hAnsi="Times New Roman" w:cs="Times New Roman"/>
                <w:sz w:val="24"/>
                <w:szCs w:val="24"/>
              </w:rPr>
              <w:t>+σ</w:t>
            </w:r>
            <w:r w:rsidRPr="00302299">
              <w:rPr>
                <w:rFonts w:ascii="Times New Roman" w:eastAsia="Times New Roman" w:hAnsi="Times New Roman" w:cs="Times New Roman"/>
                <w:i/>
                <w:sz w:val="24"/>
                <w:szCs w:val="24"/>
                <w:vertAlign w:val="subscript"/>
              </w:rPr>
              <w:t>R</w:t>
            </w:r>
            <w:proofErr w:type="spellEnd"/>
            <w:r w:rsidRPr="00302299">
              <w:rPr>
                <w:rFonts w:ascii="Times New Roman" w:eastAsia="Times New Roman" w:hAnsi="Times New Roman" w:cs="Times New Roman"/>
                <w:i/>
                <w:sz w:val="24"/>
                <w:szCs w:val="24"/>
              </w:rPr>
              <w:t xml:space="preserve">    R</w:t>
            </w:r>
            <w:r w:rsidRPr="00302299">
              <w:rPr>
                <w:rFonts w:ascii="Times New Roman" w:eastAsia="Times New Roman" w:hAnsi="Times New Roman" w:cs="Times New Roman"/>
                <w:sz w:val="24"/>
                <w:szCs w:val="24"/>
              </w:rPr>
              <w:t>(</w:t>
            </w:r>
            <w:r w:rsidRPr="00302299">
              <w:rPr>
                <w:rFonts w:ascii="Times New Roman" w:eastAsia="Times New Roman" w:hAnsi="Times New Roman" w:cs="Times New Roman"/>
                <w:i/>
                <w:sz w:val="24"/>
                <w:szCs w:val="24"/>
              </w:rPr>
              <w:t>t</w:t>
            </w:r>
            <w:r w:rsidRPr="00302299">
              <w:rPr>
                <w:rFonts w:ascii="Times New Roman" w:eastAsia="Times New Roman" w:hAnsi="Times New Roman" w:cs="Times New Roman"/>
                <w:sz w:val="24"/>
                <w:szCs w:val="24"/>
              </w:rPr>
              <w:t>)</w:t>
            </w:r>
            <w:proofErr w:type="spellStart"/>
            <w:r w:rsidRPr="00302299">
              <w:rPr>
                <w:rFonts w:ascii="Times New Roman" w:eastAsia="Times New Roman" w:hAnsi="Times New Roman" w:cs="Times New Roman"/>
                <w:i/>
                <w:sz w:val="24"/>
                <w:szCs w:val="24"/>
              </w:rPr>
              <w:t>dw</w:t>
            </w:r>
            <w:r w:rsidRPr="00302299">
              <w:rPr>
                <w:rFonts w:ascii="Times New Roman" w:eastAsia="Times New Roman" w:hAnsi="Times New Roman" w:cs="Times New Roman"/>
                <w:i/>
                <w:sz w:val="24"/>
                <w:szCs w:val="24"/>
                <w:vertAlign w:val="subscript"/>
              </w:rPr>
              <w:t>R</w:t>
            </w:r>
            <w:proofErr w:type="spellEnd"/>
            <w:r w:rsidRPr="00302299">
              <w:rPr>
                <w:rFonts w:ascii="Times New Roman" w:eastAsia="Times New Roman" w:hAnsi="Times New Roman" w:cs="Times New Roman"/>
                <w:sz w:val="24"/>
                <w:szCs w:val="24"/>
              </w:rPr>
              <w:t>(</w:t>
            </w:r>
            <w:r w:rsidRPr="00302299">
              <w:rPr>
                <w:rFonts w:ascii="Times New Roman" w:eastAsia="Times New Roman" w:hAnsi="Times New Roman" w:cs="Times New Roman"/>
                <w:i/>
                <w:sz w:val="24"/>
                <w:szCs w:val="24"/>
              </w:rPr>
              <w:t>t</w:t>
            </w:r>
            <w:r w:rsidRPr="00302299">
              <w:rPr>
                <w:rFonts w:ascii="Times New Roman" w:eastAsia="Times New Roman" w:hAnsi="Times New Roman" w:cs="Times New Roman"/>
                <w:sz w:val="24"/>
                <w:szCs w:val="24"/>
              </w:rPr>
              <w:t>)</w:t>
            </w:r>
          </w:p>
        </w:tc>
        <w:tc>
          <w:tcPr>
            <w:tcW w:w="1240" w:type="dxa"/>
            <w:shd w:val="clear" w:color="auto" w:fill="auto"/>
            <w:vAlign w:val="bottom"/>
          </w:tcPr>
          <w:p w14:paraId="68166611" w14:textId="77777777" w:rsidR="00316C3B" w:rsidRPr="00302299" w:rsidRDefault="00316C3B" w:rsidP="004D1AB4">
            <w:pPr>
              <w:spacing w:line="360" w:lineRule="auto"/>
              <w:jc w:val="right"/>
              <w:rPr>
                <w:rFonts w:ascii="Times New Roman" w:eastAsia="Times New Roman" w:hAnsi="Times New Roman" w:cs="Times New Roman"/>
                <w:sz w:val="24"/>
                <w:szCs w:val="24"/>
              </w:rPr>
            </w:pPr>
          </w:p>
        </w:tc>
      </w:tr>
    </w:tbl>
    <w:p w14:paraId="16AD639E" w14:textId="5BE973D6" w:rsidR="00316C3B" w:rsidRPr="00302299" w:rsidRDefault="00316C3B" w:rsidP="00316C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1" locked="0" layoutInCell="1" allowOverlap="1" wp14:anchorId="0E7CFBCA" wp14:editId="386027F3">
                <wp:simplePos x="0" y="0"/>
                <wp:positionH relativeFrom="column">
                  <wp:posOffset>3515360</wp:posOffset>
                </wp:positionH>
                <wp:positionV relativeFrom="paragraph">
                  <wp:posOffset>-246381</wp:posOffset>
                </wp:positionV>
                <wp:extent cx="2089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75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7A79A"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6.8pt,-19.4pt" to="293.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" strokeweight=".20953mm"/>
            </w:pict>
          </mc:Fallback>
        </mc:AlternateContent>
      </w:r>
    </w:p>
    <w:p w14:paraId="14D36849" w14:textId="77777777" w:rsidR="00316C3B" w:rsidRPr="00302299" w:rsidRDefault="00316C3B" w:rsidP="00316C3B">
      <w:pPr>
        <w:spacing w:line="360" w:lineRule="auto"/>
        <w:ind w:right="720"/>
        <w:jc w:val="both"/>
        <w:rPr>
          <w:rFonts w:ascii="Times New Roman" w:eastAsia="Times New Roman" w:hAnsi="Times New Roman" w:cs="Times New Roman"/>
          <w:sz w:val="24"/>
          <w:szCs w:val="24"/>
        </w:rPr>
      </w:pPr>
      <w:r w:rsidRPr="00302299">
        <w:rPr>
          <w:rFonts w:ascii="Times New Roman" w:eastAsia="Times New Roman" w:hAnsi="Times New Roman" w:cs="Times New Roman"/>
          <w:sz w:val="24"/>
          <w:szCs w:val="24"/>
        </w:rPr>
        <w:t xml:space="preserve">In this formula, velocity of change, mean long run, and vector coefficient of the R(t) phase are the velocity of </w:t>
      </w:r>
      <w:proofErr w:type="spellStart"/>
      <w:r w:rsidRPr="00302299">
        <w:rPr>
          <w:rFonts w:ascii="Times New Roman" w:eastAsia="Times New Roman" w:hAnsi="Times New Roman" w:cs="Times New Roman"/>
          <w:sz w:val="24"/>
          <w:szCs w:val="24"/>
        </w:rPr>
        <w:t>ÿR</w:t>
      </w:r>
      <w:proofErr w:type="spellEnd"/>
      <w:r w:rsidRPr="00302299">
        <w:rPr>
          <w:rFonts w:ascii="Times New Roman" w:eastAsia="Times New Roman" w:hAnsi="Times New Roman" w:cs="Times New Roman"/>
          <w:sz w:val="24"/>
          <w:szCs w:val="24"/>
        </w:rPr>
        <w:t>, the reference vector reference variable R(t). WR(t) is standard Brownian motion. It lacks mutual understanding to any given model.</w:t>
      </w:r>
    </w:p>
    <w:p w14:paraId="0D5481BA" w14:textId="77777777" w:rsidR="00316C3B" w:rsidRPr="00923958" w:rsidRDefault="00316C3B" w:rsidP="00316C3B">
      <w:pPr>
        <w:spacing w:line="230" w:lineRule="auto"/>
        <w:ind w:left="720" w:right="720"/>
        <w:jc w:val="both"/>
        <w:rPr>
          <w:rFonts w:ascii="Times New Roman" w:eastAsia="Times New Roman" w:hAnsi="Times New Roman"/>
          <w:sz w:val="21"/>
        </w:rPr>
      </w:pPr>
    </w:p>
    <w:p w14:paraId="7E0181CD" w14:textId="77777777" w:rsidR="00316C3B" w:rsidRDefault="00316C3B" w:rsidP="00316C3B">
      <w:pPr>
        <w:spacing w:line="360" w:lineRule="auto"/>
        <w:rPr>
          <w:rFonts w:ascii="Times New Roman" w:hAnsi="Times New Roman" w:cs="Times New Roman"/>
          <w:b/>
          <w:sz w:val="24"/>
          <w:szCs w:val="24"/>
        </w:rPr>
      </w:pPr>
    </w:p>
    <w:p w14:paraId="1ADD8F62" w14:textId="77777777" w:rsidR="00316C3B" w:rsidRDefault="00316C3B" w:rsidP="00316C3B">
      <w:pPr>
        <w:spacing w:line="360" w:lineRule="auto"/>
        <w:rPr>
          <w:rFonts w:ascii="Times New Roman" w:hAnsi="Times New Roman" w:cs="Times New Roman"/>
          <w:b/>
          <w:sz w:val="24"/>
          <w:szCs w:val="24"/>
        </w:rPr>
      </w:pPr>
    </w:p>
    <w:p w14:paraId="40D26A75" w14:textId="77777777" w:rsidR="00316C3B" w:rsidRPr="00D40482" w:rsidRDefault="00316C3B" w:rsidP="00316C3B">
      <w:pPr>
        <w:spacing w:line="360" w:lineRule="auto"/>
        <w:rPr>
          <w:rFonts w:ascii="Times New Roman" w:hAnsi="Times New Roman" w:cs="Times New Roman"/>
          <w:b/>
          <w:sz w:val="24"/>
          <w:szCs w:val="24"/>
        </w:rPr>
      </w:pPr>
      <w:r w:rsidRPr="00D40482">
        <w:rPr>
          <w:rFonts w:ascii="Times New Roman" w:hAnsi="Times New Roman" w:cs="Times New Roman"/>
          <w:b/>
          <w:sz w:val="24"/>
          <w:szCs w:val="24"/>
        </w:rPr>
        <w:t>Non-parametric Option Pricing</w:t>
      </w:r>
    </w:p>
    <w:p w14:paraId="634AEBC2" w14:textId="77777777" w:rsidR="00316C3B" w:rsidRPr="004A370C" w:rsidRDefault="00316C3B" w:rsidP="00316C3B">
      <w:pPr>
        <w:spacing w:line="360" w:lineRule="auto"/>
        <w:ind w:right="720"/>
        <w:jc w:val="both"/>
        <w:rPr>
          <w:rFonts w:ascii="Times New Roman" w:eastAsia="Times New Roman" w:hAnsi="Times New Roman" w:cs="Times New Roman"/>
          <w:sz w:val="24"/>
          <w:szCs w:val="24"/>
        </w:rPr>
      </w:pPr>
      <w:r w:rsidRPr="004A370C">
        <w:rPr>
          <w:rFonts w:ascii="Times New Roman" w:eastAsia="Times New Roman" w:hAnsi="Times New Roman" w:cs="Times New Roman"/>
          <w:sz w:val="24"/>
          <w:szCs w:val="24"/>
        </w:rPr>
        <w:t xml:space="preserve">The Black-Scholes model was criticized for its underlying security distributional assumptions. Distributional assumptions are toned down naturally by the non-parametric model. Pricing a European call option using </w:t>
      </w:r>
      <w:proofErr w:type="gramStart"/>
      <w:r w:rsidRPr="004A370C">
        <w:rPr>
          <w:rFonts w:ascii="Times New Roman" w:eastAsia="Times New Roman" w:hAnsi="Times New Roman" w:cs="Times New Roman"/>
          <w:sz w:val="24"/>
          <w:szCs w:val="24"/>
        </w:rPr>
        <w:t>non parametric</w:t>
      </w:r>
      <w:proofErr w:type="gramEnd"/>
      <w:r w:rsidRPr="004A370C">
        <w:rPr>
          <w:rFonts w:ascii="Times New Roman" w:eastAsia="Times New Roman" w:hAnsi="Times New Roman" w:cs="Times New Roman"/>
          <w:sz w:val="24"/>
          <w:szCs w:val="24"/>
        </w:rPr>
        <w:t xml:space="preserve"> pricing entails non-dividend-paying asset that links available option price to a set of variables characterizing the given option.</w:t>
      </w:r>
    </w:p>
    <w:tbl>
      <w:tblPr>
        <w:tblW w:w="0" w:type="auto"/>
        <w:tblInd w:w="3760" w:type="dxa"/>
        <w:tblLayout w:type="fixed"/>
        <w:tblCellMar>
          <w:left w:w="0" w:type="dxa"/>
          <w:right w:w="0" w:type="dxa"/>
        </w:tblCellMar>
        <w:tblLook w:val="0000" w:firstRow="0" w:lastRow="0" w:firstColumn="0" w:lastColumn="0" w:noHBand="0" w:noVBand="0"/>
      </w:tblPr>
      <w:tblGrid>
        <w:gridCol w:w="3240"/>
        <w:gridCol w:w="1640"/>
      </w:tblGrid>
      <w:tr w:rsidR="00316C3B" w:rsidRPr="004A370C" w14:paraId="64137564" w14:textId="77777777" w:rsidTr="004D1AB4">
        <w:trPr>
          <w:trHeight w:val="333"/>
        </w:trPr>
        <w:tc>
          <w:tcPr>
            <w:tcW w:w="3240" w:type="dxa"/>
            <w:shd w:val="clear" w:color="auto" w:fill="auto"/>
            <w:vAlign w:val="bottom"/>
          </w:tcPr>
          <w:p w14:paraId="4C4368D6" w14:textId="77777777" w:rsidR="00316C3B" w:rsidRPr="004A370C" w:rsidRDefault="00316C3B" w:rsidP="004D1AB4">
            <w:pPr>
              <w:spacing w:line="360" w:lineRule="auto"/>
              <w:rPr>
                <w:rFonts w:ascii="Times New Roman" w:eastAsia="Times New Roman" w:hAnsi="Times New Roman" w:cs="Times New Roman"/>
                <w:sz w:val="24"/>
                <w:szCs w:val="24"/>
              </w:rPr>
            </w:pPr>
            <w:r w:rsidRPr="004A370C">
              <w:rPr>
                <w:rFonts w:ascii="Times New Roman" w:eastAsia="Times New Roman" w:hAnsi="Times New Roman" w:cs="Times New Roman"/>
                <w:i/>
                <w:sz w:val="24"/>
                <w:szCs w:val="24"/>
              </w:rPr>
              <w:lastRenderedPageBreak/>
              <w:t>C</w:t>
            </w:r>
            <w:r w:rsidRPr="004A370C">
              <w:rPr>
                <w:rFonts w:ascii="Times New Roman" w:eastAsia="Times New Roman" w:hAnsi="Times New Roman" w:cs="Times New Roman"/>
                <w:i/>
                <w:sz w:val="24"/>
                <w:szCs w:val="24"/>
                <w:vertAlign w:val="subscript"/>
              </w:rPr>
              <w:t>t</w:t>
            </w:r>
            <w:r w:rsidRPr="004A370C">
              <w:rPr>
                <w:rFonts w:ascii="Times New Roman" w:eastAsia="Arial" w:hAnsi="Times New Roman" w:cs="Times New Roman"/>
                <w:sz w:val="24"/>
                <w:szCs w:val="24"/>
              </w:rPr>
              <w:t>=</w:t>
            </w:r>
            <w:r w:rsidRPr="004A370C">
              <w:rPr>
                <w:rFonts w:ascii="Times New Roman" w:eastAsia="Times New Roman" w:hAnsi="Times New Roman" w:cs="Times New Roman"/>
                <w:i/>
                <w:sz w:val="24"/>
                <w:szCs w:val="24"/>
              </w:rPr>
              <w:t xml:space="preserve"> f </w:t>
            </w:r>
            <w:r w:rsidRPr="004A370C">
              <w:rPr>
                <w:rFonts w:ascii="Times New Roman" w:eastAsia="Times New Roman" w:hAnsi="Times New Roman" w:cs="Times New Roman"/>
                <w:sz w:val="24"/>
                <w:szCs w:val="24"/>
              </w:rPr>
              <w:t>(</w:t>
            </w:r>
            <w:r w:rsidRPr="004A370C">
              <w:rPr>
                <w:rFonts w:ascii="Times New Roman" w:eastAsia="Times New Roman" w:hAnsi="Times New Roman" w:cs="Times New Roman"/>
                <w:i/>
                <w:sz w:val="24"/>
                <w:szCs w:val="24"/>
              </w:rPr>
              <w:t xml:space="preserve">S </w:t>
            </w:r>
            <w:proofErr w:type="spellStart"/>
            <w:proofErr w:type="gramStart"/>
            <w:r w:rsidRPr="004A370C">
              <w:rPr>
                <w:rFonts w:ascii="Times New Roman" w:eastAsia="Times New Roman" w:hAnsi="Times New Roman" w:cs="Times New Roman"/>
                <w:i/>
                <w:sz w:val="24"/>
                <w:szCs w:val="24"/>
                <w:vertAlign w:val="subscript"/>
              </w:rPr>
              <w:t>t</w:t>
            </w:r>
            <w:r w:rsidRPr="004A370C">
              <w:rPr>
                <w:rFonts w:ascii="Times New Roman" w:eastAsia="Arial" w:hAnsi="Times New Roman" w:cs="Times New Roman"/>
                <w:sz w:val="24"/>
                <w:szCs w:val="24"/>
              </w:rPr>
              <w:t>,</w:t>
            </w:r>
            <w:r w:rsidRPr="004A370C">
              <w:rPr>
                <w:rFonts w:ascii="Times New Roman" w:eastAsia="Times New Roman" w:hAnsi="Times New Roman" w:cs="Times New Roman"/>
                <w:i/>
                <w:sz w:val="24"/>
                <w:szCs w:val="24"/>
              </w:rPr>
              <w:t>K</w:t>
            </w:r>
            <w:proofErr w:type="gramEnd"/>
            <w:r w:rsidRPr="004A370C">
              <w:rPr>
                <w:rFonts w:ascii="Times New Roman" w:eastAsia="Arial" w:hAnsi="Times New Roman" w:cs="Times New Roman"/>
                <w:sz w:val="24"/>
                <w:szCs w:val="24"/>
              </w:rPr>
              <w:t>,σ</w:t>
            </w:r>
            <w:r w:rsidRPr="004A370C">
              <w:rPr>
                <w:rFonts w:ascii="Times New Roman" w:eastAsia="Times New Roman" w:hAnsi="Times New Roman" w:cs="Times New Roman"/>
                <w:i/>
                <w:sz w:val="24"/>
                <w:szCs w:val="24"/>
                <w:vertAlign w:val="subscript"/>
              </w:rPr>
              <w:t>t</w:t>
            </w:r>
            <w:r w:rsidRPr="004A370C">
              <w:rPr>
                <w:rFonts w:ascii="Times New Roman" w:eastAsia="Arial" w:hAnsi="Times New Roman" w:cs="Times New Roman"/>
                <w:sz w:val="24"/>
                <w:szCs w:val="24"/>
              </w:rPr>
              <w:t>,</w:t>
            </w:r>
            <w:r w:rsidRPr="004A370C">
              <w:rPr>
                <w:rFonts w:ascii="Times New Roman" w:eastAsia="Times New Roman" w:hAnsi="Times New Roman" w:cs="Times New Roman"/>
                <w:i/>
                <w:sz w:val="24"/>
                <w:szCs w:val="24"/>
              </w:rPr>
              <w:t>r</w:t>
            </w:r>
            <w:r w:rsidRPr="004A370C">
              <w:rPr>
                <w:rFonts w:ascii="Times New Roman" w:eastAsia="Times New Roman" w:hAnsi="Times New Roman" w:cs="Times New Roman"/>
                <w:i/>
                <w:sz w:val="24"/>
                <w:szCs w:val="24"/>
                <w:vertAlign w:val="subscript"/>
              </w:rPr>
              <w:t>t</w:t>
            </w:r>
            <w:r w:rsidRPr="004A370C">
              <w:rPr>
                <w:rFonts w:ascii="Times New Roman" w:eastAsia="Arial" w:hAnsi="Times New Roman" w:cs="Times New Roman"/>
                <w:sz w:val="24"/>
                <w:szCs w:val="24"/>
              </w:rPr>
              <w:t>,τ</w:t>
            </w:r>
            <w:proofErr w:type="spellEnd"/>
            <w:r w:rsidRPr="004A370C">
              <w:rPr>
                <w:rFonts w:ascii="Times New Roman" w:eastAsia="Times New Roman" w:hAnsi="Times New Roman" w:cs="Times New Roman"/>
                <w:sz w:val="24"/>
                <w:szCs w:val="24"/>
              </w:rPr>
              <w:t>)</w:t>
            </w:r>
          </w:p>
        </w:tc>
        <w:tc>
          <w:tcPr>
            <w:tcW w:w="1640" w:type="dxa"/>
            <w:shd w:val="clear" w:color="auto" w:fill="auto"/>
            <w:vAlign w:val="bottom"/>
          </w:tcPr>
          <w:p w14:paraId="5119C124" w14:textId="77777777" w:rsidR="00316C3B" w:rsidRPr="004A370C" w:rsidRDefault="00316C3B" w:rsidP="004D1AB4">
            <w:pPr>
              <w:spacing w:line="360" w:lineRule="auto"/>
              <w:jc w:val="right"/>
              <w:rPr>
                <w:rFonts w:ascii="Times New Roman" w:eastAsia="Times New Roman" w:hAnsi="Times New Roman" w:cs="Times New Roman"/>
                <w:sz w:val="24"/>
                <w:szCs w:val="24"/>
              </w:rPr>
            </w:pPr>
          </w:p>
        </w:tc>
      </w:tr>
    </w:tbl>
    <w:p w14:paraId="598B6C12" w14:textId="77777777" w:rsidR="00316C3B" w:rsidRPr="004A370C" w:rsidRDefault="00316C3B" w:rsidP="00316C3B">
      <w:pPr>
        <w:spacing w:line="360" w:lineRule="auto"/>
        <w:rPr>
          <w:rFonts w:ascii="Times New Roman" w:hAnsi="Times New Roman" w:cs="Times New Roman"/>
          <w:b/>
          <w:sz w:val="24"/>
          <w:szCs w:val="24"/>
        </w:rPr>
      </w:pPr>
    </w:p>
    <w:p w14:paraId="54BDDA36" w14:textId="77777777" w:rsidR="00316C3B" w:rsidRPr="004A370C" w:rsidRDefault="00316C3B" w:rsidP="00316C3B">
      <w:pPr>
        <w:spacing w:line="360" w:lineRule="auto"/>
        <w:ind w:right="720"/>
        <w:jc w:val="both"/>
        <w:rPr>
          <w:rFonts w:ascii="Times New Roman" w:eastAsia="Times New Roman" w:hAnsi="Times New Roman" w:cs="Times New Roman"/>
          <w:sz w:val="24"/>
          <w:szCs w:val="24"/>
        </w:rPr>
      </w:pPr>
      <w:r w:rsidRPr="004A370C">
        <w:rPr>
          <w:rFonts w:ascii="Times New Roman" w:eastAsia="Times New Roman" w:hAnsi="Times New Roman" w:cs="Times New Roman"/>
          <w:sz w:val="24"/>
          <w:szCs w:val="24"/>
        </w:rPr>
        <w:t xml:space="preserve">In the above formula, underlying asset price is St, strike price is K, </w:t>
      </w:r>
      <w:proofErr w:type="spellStart"/>
      <w:r w:rsidRPr="004A370C">
        <w:rPr>
          <w:rFonts w:ascii="Times New Roman" w:eastAsia="Times New Roman" w:hAnsi="Times New Roman" w:cs="Times New Roman"/>
          <w:sz w:val="24"/>
          <w:szCs w:val="24"/>
        </w:rPr>
        <w:t>Ţt</w:t>
      </w:r>
      <w:proofErr w:type="spellEnd"/>
      <w:r w:rsidRPr="004A370C">
        <w:rPr>
          <w:rFonts w:ascii="Times New Roman" w:eastAsia="Times New Roman" w:hAnsi="Times New Roman" w:cs="Times New Roman"/>
          <w:sz w:val="24"/>
          <w:szCs w:val="24"/>
        </w:rPr>
        <w:t xml:space="preserve"> represents underlying asset volatility, rt is a rate of interest and μ is time to maturity. </w:t>
      </w:r>
    </w:p>
    <w:p w14:paraId="12692422" w14:textId="77777777" w:rsidR="00316C3B" w:rsidRPr="004A370C" w:rsidRDefault="00316C3B" w:rsidP="00316C3B">
      <w:pPr>
        <w:spacing w:line="360" w:lineRule="auto"/>
        <w:rPr>
          <w:rFonts w:ascii="Times New Roman" w:eastAsia="Times New Roman" w:hAnsi="Times New Roman" w:cs="Times New Roman"/>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2480"/>
        <w:gridCol w:w="200"/>
        <w:gridCol w:w="3320"/>
        <w:gridCol w:w="1920"/>
      </w:tblGrid>
      <w:tr w:rsidR="00316C3B" w14:paraId="78DA0E7A" w14:textId="77777777" w:rsidTr="004D1AB4">
        <w:trPr>
          <w:trHeight w:val="333"/>
        </w:trPr>
        <w:tc>
          <w:tcPr>
            <w:tcW w:w="2480" w:type="dxa"/>
            <w:shd w:val="clear" w:color="auto" w:fill="auto"/>
            <w:vAlign w:val="bottom"/>
          </w:tcPr>
          <w:p w14:paraId="669BF003" w14:textId="77777777" w:rsidR="00316C3B" w:rsidRDefault="00316C3B" w:rsidP="004D1AB4">
            <w:pPr>
              <w:spacing w:line="0" w:lineRule="atLeast"/>
              <w:rPr>
                <w:rFonts w:ascii="Times New Roman" w:eastAsia="Times New Roman" w:hAnsi="Times New Roman"/>
                <w:sz w:val="24"/>
              </w:rPr>
            </w:pPr>
          </w:p>
        </w:tc>
        <w:tc>
          <w:tcPr>
            <w:tcW w:w="200" w:type="dxa"/>
            <w:shd w:val="clear" w:color="auto" w:fill="auto"/>
            <w:vAlign w:val="bottom"/>
          </w:tcPr>
          <w:p w14:paraId="07537DC2" w14:textId="77777777" w:rsidR="00316C3B" w:rsidRDefault="00316C3B" w:rsidP="004D1AB4">
            <w:pPr>
              <w:spacing w:line="0" w:lineRule="atLeast"/>
              <w:rPr>
                <w:rFonts w:ascii="Times New Roman" w:eastAsia="Times New Roman" w:hAnsi="Times New Roman"/>
                <w:sz w:val="24"/>
              </w:rPr>
            </w:pPr>
          </w:p>
        </w:tc>
        <w:tc>
          <w:tcPr>
            <w:tcW w:w="3320" w:type="dxa"/>
            <w:shd w:val="clear" w:color="auto" w:fill="auto"/>
            <w:vAlign w:val="bottom"/>
          </w:tcPr>
          <w:p w14:paraId="290C26B6" w14:textId="77777777" w:rsidR="00316C3B" w:rsidRDefault="00316C3B" w:rsidP="004D1AB4">
            <w:pPr>
              <w:spacing w:line="0" w:lineRule="atLeast"/>
              <w:ind w:left="620"/>
              <w:rPr>
                <w:rFonts w:ascii="Times New Roman" w:eastAsia="Times New Roman" w:hAnsi="Times New Roman"/>
                <w:sz w:val="21"/>
              </w:rPr>
            </w:pPr>
            <w:r>
              <w:rPr>
                <w:rFonts w:ascii="Times New Roman" w:eastAsia="Times New Roman" w:hAnsi="Times New Roman"/>
                <w:i/>
                <w:sz w:val="21"/>
              </w:rPr>
              <w:t>C</w:t>
            </w:r>
            <w:r>
              <w:rPr>
                <w:rFonts w:ascii="Times New Roman" w:eastAsia="Times New Roman" w:hAnsi="Times New Roman"/>
                <w:i/>
                <w:sz w:val="29"/>
                <w:vertAlign w:val="subscript"/>
              </w:rPr>
              <w:t>t</w:t>
            </w:r>
            <w:r>
              <w:rPr>
                <w:rFonts w:ascii="Arial" w:eastAsia="Arial" w:hAnsi="Arial"/>
                <w:sz w:val="21"/>
              </w:rPr>
              <w:t>=</w:t>
            </w:r>
            <w:r>
              <w:rPr>
                <w:rFonts w:ascii="Times New Roman" w:eastAsia="Times New Roman" w:hAnsi="Times New Roman"/>
                <w:i/>
                <w:sz w:val="21"/>
              </w:rPr>
              <w:t xml:space="preserve"> f </w:t>
            </w:r>
            <w:r>
              <w:rPr>
                <w:rFonts w:ascii="Times New Roman" w:eastAsia="Times New Roman" w:hAnsi="Times New Roman"/>
                <w:sz w:val="21"/>
              </w:rPr>
              <w:t>(</w:t>
            </w:r>
            <w:r>
              <w:rPr>
                <w:rFonts w:ascii="Times New Roman" w:eastAsia="Times New Roman" w:hAnsi="Times New Roman"/>
                <w:i/>
                <w:sz w:val="21"/>
              </w:rPr>
              <w:t xml:space="preserve">S </w:t>
            </w:r>
            <w:proofErr w:type="spellStart"/>
            <w:proofErr w:type="gramStart"/>
            <w:r>
              <w:rPr>
                <w:rFonts w:ascii="Times New Roman" w:eastAsia="Times New Roman" w:hAnsi="Times New Roman"/>
                <w:i/>
                <w:sz w:val="29"/>
                <w:vertAlign w:val="subscript"/>
              </w:rPr>
              <w:t>t</w:t>
            </w:r>
            <w:r>
              <w:rPr>
                <w:rFonts w:ascii="Arial" w:eastAsia="Arial" w:hAnsi="Arial"/>
                <w:sz w:val="21"/>
              </w:rPr>
              <w:t>,</w:t>
            </w:r>
            <w:r>
              <w:rPr>
                <w:rFonts w:ascii="Times New Roman" w:eastAsia="Times New Roman" w:hAnsi="Times New Roman"/>
                <w:i/>
                <w:sz w:val="21"/>
              </w:rPr>
              <w:t>K</w:t>
            </w:r>
            <w:proofErr w:type="gramEnd"/>
            <w:r>
              <w:rPr>
                <w:rFonts w:ascii="Arial" w:eastAsia="Arial" w:hAnsi="Arial"/>
                <w:sz w:val="21"/>
              </w:rPr>
              <w:t>,τ</w:t>
            </w:r>
            <w:proofErr w:type="spellEnd"/>
            <w:r>
              <w:rPr>
                <w:rFonts w:ascii="Times New Roman" w:eastAsia="Times New Roman" w:hAnsi="Times New Roman"/>
                <w:sz w:val="21"/>
              </w:rPr>
              <w:t>)</w:t>
            </w:r>
          </w:p>
        </w:tc>
        <w:tc>
          <w:tcPr>
            <w:tcW w:w="1920" w:type="dxa"/>
            <w:shd w:val="clear" w:color="auto" w:fill="auto"/>
            <w:vAlign w:val="bottom"/>
          </w:tcPr>
          <w:p w14:paraId="5235E68A" w14:textId="77777777" w:rsidR="00316C3B" w:rsidRDefault="00316C3B" w:rsidP="004D1AB4">
            <w:pPr>
              <w:spacing w:line="0" w:lineRule="atLeast"/>
              <w:jc w:val="right"/>
              <w:rPr>
                <w:rFonts w:ascii="Times New Roman" w:eastAsia="Times New Roman" w:hAnsi="Times New Roman"/>
                <w:sz w:val="21"/>
              </w:rPr>
            </w:pPr>
          </w:p>
        </w:tc>
      </w:tr>
    </w:tbl>
    <w:p w14:paraId="606A500F" w14:textId="77777777" w:rsidR="00316C3B" w:rsidRDefault="00316C3B" w:rsidP="00316C3B">
      <w:pPr>
        <w:spacing w:line="360" w:lineRule="auto"/>
        <w:rPr>
          <w:rFonts w:ascii="Times New Roman" w:hAnsi="Times New Roman" w:cs="Times New Roman"/>
          <w:b/>
          <w:sz w:val="24"/>
          <w:szCs w:val="24"/>
        </w:rPr>
      </w:pPr>
    </w:p>
    <w:p w14:paraId="698E4576" w14:textId="77777777" w:rsidR="00316C3B" w:rsidRDefault="00316C3B" w:rsidP="00316C3B">
      <w:pPr>
        <w:spacing w:line="360" w:lineRule="auto"/>
        <w:rPr>
          <w:rFonts w:ascii="Times New Roman" w:hAnsi="Times New Roman" w:cs="Times New Roman"/>
          <w:b/>
          <w:sz w:val="24"/>
          <w:szCs w:val="24"/>
        </w:rPr>
      </w:pPr>
      <w:r w:rsidRPr="00D40482">
        <w:rPr>
          <w:rFonts w:ascii="Times New Roman" w:hAnsi="Times New Roman" w:cs="Times New Roman"/>
          <w:b/>
          <w:sz w:val="24"/>
          <w:szCs w:val="24"/>
        </w:rPr>
        <w:t>Fuzzy learning vector quantization (FLVQ)</w:t>
      </w:r>
    </w:p>
    <w:p w14:paraId="120B9CEE" w14:textId="77777777" w:rsidR="00316C3B" w:rsidRDefault="00316C3B" w:rsidP="00316C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FLVQ </w:t>
      </w:r>
      <w:r w:rsidRPr="0036679A">
        <w:rPr>
          <w:rFonts w:ascii="Times New Roman" w:hAnsi="Times New Roman" w:cs="Times New Roman"/>
          <w:sz w:val="24"/>
          <w:szCs w:val="24"/>
        </w:rPr>
        <w:t>al</w:t>
      </w:r>
      <w:r>
        <w:rPr>
          <w:rFonts w:ascii="Times New Roman" w:hAnsi="Times New Roman" w:cs="Times New Roman"/>
          <w:sz w:val="24"/>
          <w:szCs w:val="24"/>
        </w:rPr>
        <w:t>gorithm is a non-supervised batch method (</w:t>
      </w:r>
      <w:proofErr w:type="spellStart"/>
      <w:r>
        <w:rPr>
          <w:rFonts w:ascii="Times New Roman" w:hAnsi="Times New Roman" w:cs="Times New Roman"/>
          <w:sz w:val="24"/>
          <w:szCs w:val="24"/>
        </w:rPr>
        <w:t>Bezdek</w:t>
      </w:r>
      <w:proofErr w:type="spellEnd"/>
      <w:r>
        <w:rPr>
          <w:rFonts w:ascii="Times New Roman" w:hAnsi="Times New Roman" w:cs="Times New Roman"/>
          <w:sz w:val="24"/>
          <w:szCs w:val="24"/>
        </w:rPr>
        <w:t>, 1995). This algorithm represents</w:t>
      </w:r>
      <w:r w:rsidRPr="0036679A">
        <w:rPr>
          <w:rFonts w:ascii="Times New Roman" w:hAnsi="Times New Roman" w:cs="Times New Roman"/>
          <w:sz w:val="24"/>
          <w:szCs w:val="24"/>
        </w:rPr>
        <w:t xml:space="preserve"> weight </w:t>
      </w:r>
      <w:r>
        <w:rPr>
          <w:rFonts w:ascii="Times New Roman" w:hAnsi="Times New Roman" w:cs="Times New Roman"/>
          <w:sz w:val="24"/>
          <w:szCs w:val="24"/>
        </w:rPr>
        <w:t>variation adjustment rules in unattended n</w:t>
      </w:r>
      <w:r w:rsidRPr="0036679A">
        <w:rPr>
          <w:rFonts w:ascii="Times New Roman" w:hAnsi="Times New Roman" w:cs="Times New Roman"/>
          <w:sz w:val="24"/>
          <w:szCs w:val="24"/>
        </w:rPr>
        <w:t>etwork with a batch clustering c-means (FCM) function as the fuzzy set membership function. The key advantages of the FLVQ algorithm compared with sim</w:t>
      </w:r>
      <w:r>
        <w:rPr>
          <w:rFonts w:ascii="Times New Roman" w:hAnsi="Times New Roman" w:cs="Times New Roman"/>
          <w:sz w:val="24"/>
          <w:szCs w:val="24"/>
        </w:rPr>
        <w:t xml:space="preserve">ilar clustering methods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Pr="0036679A">
        <w:rPr>
          <w:rFonts w:ascii="Times New Roman" w:hAnsi="Times New Roman" w:cs="Times New Roman"/>
          <w:sz w:val="24"/>
          <w:szCs w:val="24"/>
        </w:rPr>
        <w:t>smaller number of input paramet</w:t>
      </w:r>
      <w:r>
        <w:rPr>
          <w:rFonts w:ascii="Times New Roman" w:hAnsi="Times New Roman" w:cs="Times New Roman"/>
          <w:sz w:val="24"/>
          <w:szCs w:val="24"/>
        </w:rPr>
        <w:t xml:space="preserve">ers are requested, </w:t>
      </w:r>
      <w:r w:rsidRPr="0036679A">
        <w:rPr>
          <w:rFonts w:ascii="Times New Roman" w:hAnsi="Times New Roman" w:cs="Times New Roman"/>
          <w:sz w:val="24"/>
          <w:szCs w:val="24"/>
        </w:rPr>
        <w:t>less often s</w:t>
      </w:r>
      <w:r>
        <w:rPr>
          <w:rFonts w:ascii="Times New Roman" w:hAnsi="Times New Roman" w:cs="Times New Roman"/>
          <w:sz w:val="24"/>
          <w:szCs w:val="24"/>
        </w:rPr>
        <w:t xml:space="preserve">tuck with local minimum and </w:t>
      </w:r>
      <w:r w:rsidRPr="0036679A">
        <w:rPr>
          <w:rFonts w:ascii="Times New Roman" w:hAnsi="Times New Roman" w:cs="Times New Roman"/>
          <w:sz w:val="24"/>
          <w:szCs w:val="24"/>
        </w:rPr>
        <w:t>final solution does not affect the sequence of in</w:t>
      </w:r>
      <w:r>
        <w:rPr>
          <w:rFonts w:ascii="Times New Roman" w:hAnsi="Times New Roman" w:cs="Times New Roman"/>
          <w:sz w:val="24"/>
          <w:szCs w:val="24"/>
        </w:rPr>
        <w:t xml:space="preserve">put data. </w:t>
      </w:r>
      <w:r w:rsidRPr="0036679A">
        <w:rPr>
          <w:rFonts w:ascii="Times New Roman" w:hAnsi="Times New Roman" w:cs="Times New Roman"/>
          <w:sz w:val="24"/>
          <w:szCs w:val="24"/>
        </w:rPr>
        <w:t>FLVQ algorithm</w:t>
      </w:r>
      <w:r>
        <w:rPr>
          <w:rFonts w:ascii="Times New Roman" w:hAnsi="Times New Roman" w:cs="Times New Roman"/>
          <w:sz w:val="24"/>
          <w:szCs w:val="24"/>
        </w:rPr>
        <w:t xml:space="preserve"> cluster is based on assuming</w:t>
      </w:r>
      <w:r w:rsidRPr="0036679A">
        <w:rPr>
          <w:rFonts w:ascii="Times New Roman" w:hAnsi="Times New Roman" w:cs="Times New Roman"/>
          <w:sz w:val="24"/>
          <w:szCs w:val="24"/>
        </w:rPr>
        <w:t xml:space="preserve"> that </w:t>
      </w:r>
      <w:proofErr w:type="gramStart"/>
      <w:r w:rsidRPr="0036679A">
        <w:rPr>
          <w:rFonts w:ascii="Times New Roman" w:hAnsi="Times New Roman" w:cs="Times New Roman"/>
          <w:sz w:val="24"/>
          <w:szCs w:val="24"/>
        </w:rPr>
        <w:t>a number of</w:t>
      </w:r>
      <w:proofErr w:type="gramEnd"/>
      <w:r w:rsidRPr="0036679A">
        <w:rPr>
          <w:rFonts w:ascii="Times New Roman" w:hAnsi="Times New Roman" w:cs="Times New Roman"/>
          <w:sz w:val="24"/>
          <w:szCs w:val="24"/>
        </w:rPr>
        <w:t xml:space="preserve"> clusters identified by its respective prototypes can be included in each class. The algorithm generally contains two stages: </w:t>
      </w:r>
      <w:r>
        <w:rPr>
          <w:rFonts w:ascii="Times New Roman" w:hAnsi="Times New Roman" w:cs="Times New Roman"/>
          <w:sz w:val="24"/>
          <w:szCs w:val="24"/>
        </w:rPr>
        <w:t xml:space="preserve">prototype generation and </w:t>
      </w:r>
      <w:r w:rsidRPr="0036679A">
        <w:rPr>
          <w:rFonts w:ascii="Times New Roman" w:hAnsi="Times New Roman" w:cs="Times New Roman"/>
          <w:sz w:val="24"/>
          <w:szCs w:val="24"/>
        </w:rPr>
        <w:t>classification error</w:t>
      </w:r>
      <w:r>
        <w:rPr>
          <w:rFonts w:ascii="Times New Roman" w:hAnsi="Times New Roman" w:cs="Times New Roman"/>
          <w:sz w:val="24"/>
          <w:szCs w:val="24"/>
        </w:rPr>
        <w:t xml:space="preserve"> improvement</w:t>
      </w:r>
      <w:r w:rsidRPr="0036679A">
        <w:rPr>
          <w:rFonts w:ascii="Times New Roman" w:hAnsi="Times New Roman" w:cs="Times New Roman"/>
          <w:sz w:val="24"/>
          <w:szCs w:val="24"/>
        </w:rPr>
        <w:t>, through adaptation of prototype coordinates.</w:t>
      </w:r>
    </w:p>
    <w:p w14:paraId="629020DD" w14:textId="77777777" w:rsidR="00316C3B" w:rsidRDefault="00316C3B" w:rsidP="00316C3B">
      <w:pPr>
        <w:spacing w:line="360" w:lineRule="auto"/>
        <w:jc w:val="both"/>
        <w:rPr>
          <w:rFonts w:ascii="Times New Roman" w:hAnsi="Times New Roman" w:cs="Times New Roman"/>
          <w:b/>
          <w:sz w:val="24"/>
          <w:szCs w:val="24"/>
        </w:rPr>
      </w:pPr>
    </w:p>
    <w:p w14:paraId="4E49A649" w14:textId="77777777" w:rsidR="00316C3B" w:rsidRDefault="00316C3B" w:rsidP="00316C3B">
      <w:pPr>
        <w:spacing w:line="360" w:lineRule="auto"/>
        <w:jc w:val="both"/>
        <w:rPr>
          <w:rFonts w:ascii="Times New Roman" w:hAnsi="Times New Roman" w:cs="Times New Roman"/>
          <w:b/>
          <w:sz w:val="24"/>
          <w:szCs w:val="24"/>
        </w:rPr>
      </w:pPr>
    </w:p>
    <w:p w14:paraId="7A7D1CDA" w14:textId="77777777" w:rsidR="00316C3B" w:rsidRDefault="00316C3B" w:rsidP="00316C3B">
      <w:pPr>
        <w:spacing w:line="360" w:lineRule="auto"/>
        <w:jc w:val="both"/>
        <w:rPr>
          <w:rFonts w:ascii="Times New Roman" w:hAnsi="Times New Roman" w:cs="Times New Roman"/>
          <w:b/>
          <w:sz w:val="24"/>
          <w:szCs w:val="24"/>
        </w:rPr>
      </w:pPr>
    </w:p>
    <w:p w14:paraId="2CC8CB56" w14:textId="77777777" w:rsidR="00316C3B" w:rsidRDefault="00316C3B" w:rsidP="00316C3B">
      <w:pPr>
        <w:spacing w:line="360" w:lineRule="auto"/>
        <w:jc w:val="both"/>
        <w:rPr>
          <w:rFonts w:ascii="Times New Roman" w:hAnsi="Times New Roman" w:cs="Times New Roman"/>
          <w:b/>
          <w:sz w:val="24"/>
          <w:szCs w:val="24"/>
        </w:rPr>
      </w:pPr>
    </w:p>
    <w:p w14:paraId="2E2D6AB3" w14:textId="77777777" w:rsidR="00316C3B" w:rsidRDefault="00316C3B" w:rsidP="00316C3B">
      <w:pPr>
        <w:spacing w:line="360" w:lineRule="auto"/>
        <w:jc w:val="both"/>
        <w:rPr>
          <w:rFonts w:ascii="Times New Roman" w:hAnsi="Times New Roman" w:cs="Times New Roman"/>
          <w:b/>
          <w:sz w:val="24"/>
          <w:szCs w:val="24"/>
        </w:rPr>
      </w:pPr>
    </w:p>
    <w:p w14:paraId="1F63214F" w14:textId="087C39FB" w:rsidR="00316C3B" w:rsidRDefault="00316C3B" w:rsidP="00316C3B">
      <w:pPr>
        <w:spacing w:line="360" w:lineRule="auto"/>
        <w:jc w:val="both"/>
        <w:rPr>
          <w:rFonts w:ascii="Times New Roman" w:hAnsi="Times New Roman" w:cs="Times New Roman"/>
          <w:b/>
          <w:sz w:val="24"/>
          <w:szCs w:val="24"/>
        </w:rPr>
      </w:pPr>
    </w:p>
    <w:p w14:paraId="20C8FD32" w14:textId="59A624AE" w:rsidR="00316C3B" w:rsidRDefault="00316C3B" w:rsidP="00316C3B">
      <w:pPr>
        <w:spacing w:line="360" w:lineRule="auto"/>
        <w:jc w:val="both"/>
        <w:rPr>
          <w:rFonts w:ascii="Times New Roman" w:hAnsi="Times New Roman" w:cs="Times New Roman"/>
          <w:b/>
          <w:sz w:val="24"/>
          <w:szCs w:val="24"/>
        </w:rPr>
      </w:pPr>
    </w:p>
    <w:p w14:paraId="55DA05EB" w14:textId="77777777" w:rsidR="00316C3B" w:rsidRDefault="00316C3B" w:rsidP="00316C3B">
      <w:pPr>
        <w:spacing w:line="360" w:lineRule="auto"/>
        <w:jc w:val="both"/>
        <w:rPr>
          <w:rFonts w:ascii="Times New Roman" w:hAnsi="Times New Roman" w:cs="Times New Roman"/>
          <w:b/>
          <w:sz w:val="24"/>
          <w:szCs w:val="24"/>
        </w:rPr>
      </w:pPr>
    </w:p>
    <w:p w14:paraId="390183BB" w14:textId="77777777" w:rsidR="00316C3B" w:rsidRPr="0045669D" w:rsidRDefault="00316C3B" w:rsidP="00316C3B">
      <w:pPr>
        <w:spacing w:line="360" w:lineRule="auto"/>
        <w:jc w:val="both"/>
        <w:rPr>
          <w:rFonts w:ascii="Times New Roman" w:hAnsi="Times New Roman" w:cs="Times New Roman"/>
          <w:b/>
          <w:sz w:val="24"/>
          <w:szCs w:val="24"/>
        </w:rPr>
      </w:pPr>
    </w:p>
    <w:p w14:paraId="0A2760F9" w14:textId="77777777" w:rsidR="00316C3B" w:rsidRDefault="00316C3B" w:rsidP="00316C3B">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23BFE13D" w14:textId="77777777" w:rsidR="00316C3B" w:rsidRPr="00B016B5" w:rsidRDefault="00316C3B" w:rsidP="00316C3B">
      <w:pPr>
        <w:spacing w:line="360" w:lineRule="auto"/>
        <w:jc w:val="both"/>
        <w:rPr>
          <w:rFonts w:ascii="Times New Roman" w:hAnsi="Times New Roman" w:cs="Times New Roman"/>
          <w:b/>
          <w:sz w:val="24"/>
          <w:szCs w:val="24"/>
        </w:rPr>
      </w:pPr>
      <w:r w:rsidRPr="00EC5942">
        <w:rPr>
          <w:rFonts w:ascii="Times New Roman" w:hAnsi="Times New Roman" w:cs="Times New Roman"/>
          <w:sz w:val="24"/>
          <w:szCs w:val="24"/>
        </w:rPr>
        <w:t>The generality and enlargement of models, like the Markov switching model, or the regression threshold sequence, can also be understood as our approach. FLVQ also involves separating and sorting data according to certain parameters.</w:t>
      </w:r>
      <w:r>
        <w:rPr>
          <w:rFonts w:ascii="Times New Roman" w:hAnsi="Times New Roman" w:cs="Times New Roman"/>
          <w:sz w:val="24"/>
          <w:szCs w:val="24"/>
        </w:rPr>
        <w:t xml:space="preserve"> The FLVQ algorithm does not </w:t>
      </w:r>
      <w:r w:rsidRPr="00EC5942">
        <w:rPr>
          <w:rFonts w:ascii="Times New Roman" w:hAnsi="Times New Roman" w:cs="Times New Roman"/>
          <w:sz w:val="24"/>
          <w:szCs w:val="24"/>
        </w:rPr>
        <w:t>use</w:t>
      </w:r>
      <w:r>
        <w:rPr>
          <w:rFonts w:ascii="Times New Roman" w:hAnsi="Times New Roman" w:cs="Times New Roman"/>
          <w:sz w:val="24"/>
          <w:szCs w:val="24"/>
        </w:rPr>
        <w:t xml:space="preserve"> any special thresholds or variables for data classification</w:t>
      </w:r>
      <w:r w:rsidRPr="00EC5942">
        <w:rPr>
          <w:rFonts w:ascii="Times New Roman" w:hAnsi="Times New Roman" w:cs="Times New Roman"/>
          <w:sz w:val="24"/>
          <w:szCs w:val="24"/>
        </w:rPr>
        <w:t>; however, it is based on its input space classification algo</w:t>
      </w:r>
      <w:r>
        <w:rPr>
          <w:rFonts w:ascii="Times New Roman" w:hAnsi="Times New Roman" w:cs="Times New Roman"/>
          <w:sz w:val="24"/>
          <w:szCs w:val="24"/>
        </w:rPr>
        <w:t>rithm (learning). More than two features are developed to differentiate the interest variables. This shows this method may</w:t>
      </w:r>
      <w:r w:rsidRPr="00EC5942">
        <w:rPr>
          <w:rFonts w:ascii="Times New Roman" w:hAnsi="Times New Roman" w:cs="Times New Roman"/>
          <w:sz w:val="24"/>
          <w:szCs w:val="24"/>
        </w:rPr>
        <w:t xml:space="preserve"> be extended in time series financial econometrics to other non-linear </w:t>
      </w:r>
      <w:r>
        <w:rPr>
          <w:rFonts w:ascii="Times New Roman" w:hAnsi="Times New Roman" w:cs="Times New Roman"/>
          <w:sz w:val="24"/>
          <w:szCs w:val="24"/>
        </w:rPr>
        <w:t xml:space="preserve">issues. </w:t>
      </w:r>
      <w:r w:rsidRPr="00EC5942">
        <w:rPr>
          <w:rFonts w:ascii="Times New Roman" w:hAnsi="Times New Roman" w:cs="Times New Roman"/>
          <w:sz w:val="24"/>
          <w:szCs w:val="24"/>
        </w:rPr>
        <w:t>Foreign-exchange, interest-rate and derivative models are financial models that are likely to change regime. In conc</w:t>
      </w:r>
      <w:r>
        <w:rPr>
          <w:rFonts w:ascii="Times New Roman" w:hAnsi="Times New Roman" w:cs="Times New Roman"/>
          <w:sz w:val="24"/>
          <w:szCs w:val="24"/>
        </w:rPr>
        <w:t>lusion, MNN-FLVQ model shows high dependency in</w:t>
      </w:r>
      <w:r w:rsidRPr="00EC5942">
        <w:rPr>
          <w:rFonts w:ascii="Times New Roman" w:hAnsi="Times New Roman" w:cs="Times New Roman"/>
          <w:sz w:val="24"/>
          <w:szCs w:val="24"/>
        </w:rPr>
        <w:t xml:space="preserve"> research</w:t>
      </w:r>
      <w:r>
        <w:rPr>
          <w:rFonts w:ascii="Times New Roman" w:hAnsi="Times New Roman" w:cs="Times New Roman"/>
          <w:sz w:val="24"/>
          <w:szCs w:val="24"/>
        </w:rPr>
        <w:t xml:space="preserve"> pricing direction. This</w:t>
      </w:r>
      <w:r w:rsidRPr="00EC5942">
        <w:rPr>
          <w:rFonts w:ascii="Times New Roman" w:hAnsi="Times New Roman" w:cs="Times New Roman"/>
          <w:sz w:val="24"/>
          <w:szCs w:val="24"/>
        </w:rPr>
        <w:t xml:space="preserve"> approach c</w:t>
      </w:r>
      <w:r>
        <w:rPr>
          <w:rFonts w:ascii="Times New Roman" w:hAnsi="Times New Roman" w:cs="Times New Roman"/>
          <w:sz w:val="24"/>
          <w:szCs w:val="24"/>
        </w:rPr>
        <w:t>an be applied so that</w:t>
      </w:r>
      <w:r w:rsidRPr="00EC5942">
        <w:rPr>
          <w:rFonts w:ascii="Times New Roman" w:hAnsi="Times New Roman" w:cs="Times New Roman"/>
          <w:sz w:val="24"/>
          <w:szCs w:val="24"/>
        </w:rPr>
        <w:t xml:space="preserve"> data points may form part of any cluster with certain likelihood. Gaussian blend models (Behr and Potter, 2009) are an example of t</w:t>
      </w:r>
      <w:r>
        <w:rPr>
          <w:rFonts w:ascii="Times New Roman" w:hAnsi="Times New Roman" w:cs="Times New Roman"/>
          <w:sz w:val="24"/>
          <w:szCs w:val="24"/>
        </w:rPr>
        <w:t>his approach. The model uses all data points in input space and allows</w:t>
      </w:r>
      <w:r w:rsidRPr="00EC5942">
        <w:rPr>
          <w:rFonts w:ascii="Times New Roman" w:hAnsi="Times New Roman" w:cs="Times New Roman"/>
          <w:sz w:val="24"/>
          <w:szCs w:val="24"/>
        </w:rPr>
        <w:t xml:space="preserve"> interaction</w:t>
      </w:r>
      <w:r>
        <w:rPr>
          <w:rFonts w:ascii="Times New Roman" w:hAnsi="Times New Roman" w:cs="Times New Roman"/>
          <w:sz w:val="24"/>
          <w:szCs w:val="24"/>
        </w:rPr>
        <w:t xml:space="preserve"> of cluster whenever the output of the</w:t>
      </w:r>
      <w:r w:rsidRPr="00EC5942">
        <w:rPr>
          <w:rFonts w:ascii="Times New Roman" w:hAnsi="Times New Roman" w:cs="Times New Roman"/>
          <w:sz w:val="24"/>
          <w:szCs w:val="24"/>
        </w:rPr>
        <w:t xml:space="preserve"> variable is expected.</w:t>
      </w:r>
    </w:p>
    <w:p w14:paraId="13309E28" w14:textId="77777777" w:rsidR="00316C3B" w:rsidRDefault="00316C3B" w:rsidP="00316C3B">
      <w:pPr>
        <w:tabs>
          <w:tab w:val="left" w:pos="7695"/>
        </w:tabs>
        <w:rPr>
          <w:rFonts w:ascii="Times New Roman" w:hAnsi="Times New Roman" w:cs="Times New Roman"/>
          <w:sz w:val="24"/>
          <w:szCs w:val="24"/>
        </w:rPr>
      </w:pPr>
    </w:p>
    <w:p w14:paraId="4B301276" w14:textId="77777777" w:rsidR="00316C3B" w:rsidRDefault="00316C3B" w:rsidP="00316C3B">
      <w:pPr>
        <w:rPr>
          <w:rFonts w:ascii="Times New Roman" w:hAnsi="Times New Roman" w:cs="Times New Roman"/>
          <w:b/>
          <w:sz w:val="24"/>
          <w:szCs w:val="24"/>
        </w:rPr>
      </w:pPr>
      <w:r>
        <w:rPr>
          <w:rFonts w:ascii="Times New Roman" w:hAnsi="Times New Roman" w:cs="Times New Roman"/>
          <w:b/>
          <w:sz w:val="24"/>
          <w:szCs w:val="24"/>
        </w:rPr>
        <w:br w:type="page"/>
      </w:r>
    </w:p>
    <w:p w14:paraId="0E411FF9" w14:textId="77777777" w:rsidR="00316C3B" w:rsidRPr="00C777C6" w:rsidRDefault="00316C3B" w:rsidP="00316C3B">
      <w:pPr>
        <w:tabs>
          <w:tab w:val="left" w:pos="7695"/>
        </w:tabs>
        <w:rPr>
          <w:rFonts w:ascii="Times New Roman" w:hAnsi="Times New Roman" w:cs="Times New Roman"/>
          <w:b/>
          <w:sz w:val="24"/>
          <w:szCs w:val="24"/>
        </w:rPr>
      </w:pPr>
      <w:r w:rsidRPr="00C777C6">
        <w:rPr>
          <w:rFonts w:ascii="Times New Roman" w:hAnsi="Times New Roman" w:cs="Times New Roman"/>
          <w:b/>
          <w:sz w:val="24"/>
          <w:szCs w:val="24"/>
        </w:rPr>
        <w:lastRenderedPageBreak/>
        <w:t>References</w:t>
      </w:r>
    </w:p>
    <w:p w14:paraId="73744488" w14:textId="77777777" w:rsidR="00316C3B" w:rsidRDefault="00316C3B" w:rsidP="00316C3B">
      <w:pPr>
        <w:tabs>
          <w:tab w:val="left" w:pos="7695"/>
        </w:tabs>
        <w:rPr>
          <w:rFonts w:ascii="Arial" w:hAnsi="Arial" w:cs="Arial"/>
          <w:color w:val="222222"/>
          <w:sz w:val="20"/>
          <w:szCs w:val="20"/>
          <w:shd w:val="clear" w:color="auto" w:fill="FFFFFF"/>
        </w:rPr>
      </w:pPr>
    </w:p>
    <w:p w14:paraId="4E7614A2" w14:textId="77777777" w:rsidR="00316C3B" w:rsidRDefault="00316C3B" w:rsidP="00316C3B">
      <w:pPr>
        <w:tabs>
          <w:tab w:val="left" w:pos="7695"/>
        </w:tabs>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Bakshi</w:t>
      </w:r>
      <w:proofErr w:type="spellEnd"/>
      <w:r>
        <w:rPr>
          <w:rFonts w:ascii="Arial" w:hAnsi="Arial" w:cs="Arial"/>
          <w:color w:val="222222"/>
          <w:sz w:val="20"/>
          <w:szCs w:val="20"/>
          <w:shd w:val="clear" w:color="auto" w:fill="FFFFFF"/>
        </w:rPr>
        <w:t>, G., Cao, C., &amp; Chen, Z. (1997). Empirical performance of alternative option pricing models. </w:t>
      </w:r>
      <w:r>
        <w:rPr>
          <w:rFonts w:ascii="Arial" w:hAnsi="Arial" w:cs="Arial"/>
          <w:i/>
          <w:iCs/>
          <w:color w:val="222222"/>
          <w:sz w:val="20"/>
          <w:szCs w:val="20"/>
          <w:shd w:val="clear" w:color="auto" w:fill="FFFFFF"/>
        </w:rPr>
        <w:t>The Journal of finance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52</w:t>
      </w:r>
      <w:r>
        <w:rPr>
          <w:rFonts w:ascii="Arial" w:hAnsi="Arial" w:cs="Arial"/>
          <w:color w:val="222222"/>
          <w:sz w:val="20"/>
          <w:szCs w:val="20"/>
          <w:shd w:val="clear" w:color="auto" w:fill="FFFFFF"/>
        </w:rPr>
        <w:t>(5), 2003-2049.</w:t>
      </w:r>
    </w:p>
    <w:p w14:paraId="2302752D" w14:textId="77777777" w:rsidR="00316C3B" w:rsidRDefault="00316C3B" w:rsidP="00316C3B">
      <w:pPr>
        <w:tabs>
          <w:tab w:val="left" w:pos="7695"/>
        </w:tabs>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Bezdek</w:t>
      </w:r>
      <w:proofErr w:type="spellEnd"/>
      <w:r>
        <w:rPr>
          <w:rFonts w:ascii="Arial" w:hAnsi="Arial" w:cs="Arial"/>
          <w:color w:val="222222"/>
          <w:sz w:val="20"/>
          <w:szCs w:val="20"/>
          <w:shd w:val="clear" w:color="auto" w:fill="FFFFFF"/>
        </w:rPr>
        <w:t>, J. C., &amp; Pal, N. R. (1995). Two soft relatives of learning vector quantization. </w:t>
      </w:r>
      <w:r>
        <w:rPr>
          <w:rFonts w:ascii="Arial" w:hAnsi="Arial" w:cs="Arial"/>
          <w:i/>
          <w:iCs/>
          <w:color w:val="222222"/>
          <w:sz w:val="20"/>
          <w:szCs w:val="20"/>
          <w:shd w:val="clear" w:color="auto" w:fill="FFFFFF"/>
        </w:rPr>
        <w:t>Neural networks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(5), 729-743.</w:t>
      </w:r>
    </w:p>
    <w:p w14:paraId="30560F86" w14:textId="77777777" w:rsidR="00316C3B" w:rsidRDefault="00316C3B" w:rsidP="00316C3B">
      <w:pPr>
        <w:tabs>
          <w:tab w:val="left" w:pos="7695"/>
        </w:tabs>
        <w:rPr>
          <w:rFonts w:ascii="Arial" w:hAnsi="Arial" w:cs="Arial"/>
          <w:color w:val="222222"/>
          <w:sz w:val="20"/>
          <w:szCs w:val="20"/>
          <w:shd w:val="clear" w:color="auto" w:fill="FFFFFF"/>
        </w:rPr>
      </w:pPr>
      <w:r>
        <w:rPr>
          <w:rFonts w:ascii="Arial" w:hAnsi="Arial" w:cs="Arial"/>
          <w:color w:val="222222"/>
          <w:sz w:val="20"/>
          <w:szCs w:val="20"/>
          <w:shd w:val="clear" w:color="auto" w:fill="FFFFFF"/>
        </w:rPr>
        <w:t>Black, F. (1975). Fact and fantasy in the use of options. </w:t>
      </w:r>
      <w:r>
        <w:rPr>
          <w:rFonts w:ascii="Arial" w:hAnsi="Arial" w:cs="Arial"/>
          <w:i/>
          <w:iCs/>
          <w:color w:val="222222"/>
          <w:sz w:val="20"/>
          <w:szCs w:val="20"/>
          <w:shd w:val="clear" w:color="auto" w:fill="FFFFFF"/>
        </w:rPr>
        <w:t>Financial Analysts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(4), 36-41.</w:t>
      </w:r>
    </w:p>
    <w:p w14:paraId="709E48CA" w14:textId="77777777" w:rsidR="00316C3B" w:rsidRDefault="00316C3B" w:rsidP="00316C3B">
      <w:pPr>
        <w:tabs>
          <w:tab w:val="left" w:pos="7695"/>
        </w:tabs>
        <w:rPr>
          <w:rFonts w:ascii="Arial" w:hAnsi="Arial" w:cs="Arial"/>
          <w:color w:val="222222"/>
          <w:sz w:val="20"/>
          <w:szCs w:val="20"/>
          <w:shd w:val="clear" w:color="auto" w:fill="FFFFFF"/>
        </w:rPr>
      </w:pPr>
      <w:r>
        <w:rPr>
          <w:rFonts w:ascii="Arial" w:hAnsi="Arial" w:cs="Arial"/>
          <w:color w:val="222222"/>
          <w:sz w:val="20"/>
          <w:szCs w:val="20"/>
          <w:shd w:val="clear" w:color="auto" w:fill="FFFFFF"/>
        </w:rPr>
        <w:t>Black, F., &amp; Scholes, M. (1973). The pricing of options and corporate liabilities. </w:t>
      </w:r>
      <w:r>
        <w:rPr>
          <w:rFonts w:ascii="Arial" w:hAnsi="Arial" w:cs="Arial"/>
          <w:i/>
          <w:iCs/>
          <w:color w:val="222222"/>
          <w:sz w:val="20"/>
          <w:szCs w:val="20"/>
          <w:shd w:val="clear" w:color="auto" w:fill="FFFFFF"/>
        </w:rPr>
        <w:t>Journal of political economy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81</w:t>
      </w:r>
      <w:r>
        <w:rPr>
          <w:rFonts w:ascii="Arial" w:hAnsi="Arial" w:cs="Arial"/>
          <w:color w:val="222222"/>
          <w:sz w:val="20"/>
          <w:szCs w:val="20"/>
          <w:shd w:val="clear" w:color="auto" w:fill="FFFFFF"/>
        </w:rPr>
        <w:t>(3), 637-654.</w:t>
      </w:r>
    </w:p>
    <w:p w14:paraId="035B67AB" w14:textId="77777777" w:rsidR="00316C3B" w:rsidRDefault="00316C3B" w:rsidP="00316C3B">
      <w:pPr>
        <w:tabs>
          <w:tab w:val="left" w:pos="7695"/>
        </w:tabs>
        <w:rPr>
          <w:rFonts w:ascii="Arial" w:hAnsi="Arial" w:cs="Arial"/>
          <w:color w:val="222222"/>
          <w:sz w:val="20"/>
          <w:szCs w:val="20"/>
          <w:shd w:val="clear" w:color="auto" w:fill="FFFFFF"/>
        </w:rPr>
      </w:pPr>
      <w:r>
        <w:rPr>
          <w:rFonts w:ascii="Arial" w:hAnsi="Arial" w:cs="Arial"/>
          <w:color w:val="222222"/>
          <w:sz w:val="20"/>
          <w:szCs w:val="20"/>
          <w:shd w:val="clear" w:color="auto" w:fill="FFFFFF"/>
        </w:rPr>
        <w:t>Cox, J. C., Ingersoll Jr, J. E., &amp; Ross, S. A. (1985). An intertemporal general equilibrium model of asset prices. </w:t>
      </w:r>
      <w:proofErr w:type="spellStart"/>
      <w:r>
        <w:rPr>
          <w:rFonts w:ascii="Arial" w:hAnsi="Arial" w:cs="Arial"/>
          <w:i/>
          <w:iCs/>
          <w:color w:val="222222"/>
          <w:sz w:val="20"/>
          <w:szCs w:val="20"/>
          <w:shd w:val="clear" w:color="auto" w:fill="FFFFFF"/>
        </w:rPr>
        <w:t>Econometrica</w:t>
      </w:r>
      <w:proofErr w:type="spellEnd"/>
      <w:r>
        <w:rPr>
          <w:rFonts w:ascii="Arial" w:hAnsi="Arial" w:cs="Arial"/>
          <w:i/>
          <w:iCs/>
          <w:color w:val="222222"/>
          <w:sz w:val="20"/>
          <w:szCs w:val="20"/>
          <w:shd w:val="clear" w:color="auto" w:fill="FFFFFF"/>
        </w:rPr>
        <w:t>: Journal of the Econometric Society</w:t>
      </w:r>
      <w:r>
        <w:rPr>
          <w:rFonts w:ascii="Arial" w:hAnsi="Arial" w:cs="Arial"/>
          <w:color w:val="222222"/>
          <w:sz w:val="20"/>
          <w:szCs w:val="20"/>
          <w:shd w:val="clear" w:color="auto" w:fill="FFFFFF"/>
        </w:rPr>
        <w:t>, 363-384.</w:t>
      </w:r>
    </w:p>
    <w:p w14:paraId="64A4CF61" w14:textId="77777777" w:rsidR="00316C3B" w:rsidRDefault="00316C3B" w:rsidP="00316C3B">
      <w:pPr>
        <w:tabs>
          <w:tab w:val="left" w:pos="7695"/>
        </w:tabs>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Gencay</w:t>
      </w:r>
      <w:proofErr w:type="spellEnd"/>
      <w:r>
        <w:rPr>
          <w:rFonts w:ascii="Arial" w:hAnsi="Arial" w:cs="Arial"/>
          <w:color w:val="222222"/>
          <w:sz w:val="20"/>
          <w:szCs w:val="20"/>
          <w:shd w:val="clear" w:color="auto" w:fill="FFFFFF"/>
        </w:rPr>
        <w:t>, R., Gibson, R., &amp;</w:t>
      </w:r>
      <w:proofErr w:type="spellStart"/>
      <w:r>
        <w:rPr>
          <w:rFonts w:ascii="Arial" w:hAnsi="Arial" w:cs="Arial"/>
          <w:color w:val="222222"/>
          <w:sz w:val="20"/>
          <w:szCs w:val="20"/>
          <w:shd w:val="clear" w:color="auto" w:fill="FFFFFF"/>
        </w:rPr>
        <w:t>Xue</w:t>
      </w:r>
      <w:proofErr w:type="spellEnd"/>
      <w:r>
        <w:rPr>
          <w:rFonts w:ascii="Arial" w:hAnsi="Arial" w:cs="Arial"/>
          <w:color w:val="222222"/>
          <w:sz w:val="20"/>
          <w:szCs w:val="20"/>
          <w:shd w:val="clear" w:color="auto" w:fill="FFFFFF"/>
        </w:rPr>
        <w:t>, Y. (2009). The Role of Signal Precision and Transaction Costs in Stock, Option and Volatility Trading. </w:t>
      </w:r>
      <w:r>
        <w:rPr>
          <w:rFonts w:ascii="Arial" w:hAnsi="Arial" w:cs="Arial"/>
          <w:i/>
          <w:iCs/>
          <w:color w:val="222222"/>
          <w:sz w:val="20"/>
          <w:szCs w:val="20"/>
          <w:shd w:val="clear" w:color="auto" w:fill="FFFFFF"/>
        </w:rPr>
        <w:t>Swiss Finance Institute Research Paper</w:t>
      </w:r>
      <w:r>
        <w:rPr>
          <w:rFonts w:ascii="Arial" w:hAnsi="Arial" w:cs="Arial"/>
          <w:color w:val="222222"/>
          <w:sz w:val="20"/>
          <w:szCs w:val="20"/>
          <w:shd w:val="clear" w:color="auto" w:fill="FFFFFF"/>
        </w:rPr>
        <w:t>, (09-11).</w:t>
      </w:r>
    </w:p>
    <w:p w14:paraId="21B4A849" w14:textId="77777777" w:rsidR="00316C3B" w:rsidRDefault="00316C3B" w:rsidP="00316C3B">
      <w:pPr>
        <w:tabs>
          <w:tab w:val="left" w:pos="7695"/>
        </w:tabs>
        <w:rPr>
          <w:rFonts w:ascii="Times New Roman" w:hAnsi="Times New Roman" w:cs="Times New Roman"/>
          <w:sz w:val="24"/>
          <w:szCs w:val="24"/>
        </w:rPr>
      </w:pPr>
    </w:p>
    <w:p w14:paraId="2AA8CF83" w14:textId="77777777" w:rsidR="00316C3B" w:rsidRPr="00EC5942" w:rsidRDefault="00316C3B" w:rsidP="00316C3B">
      <w:pPr>
        <w:tabs>
          <w:tab w:val="left" w:pos="7695"/>
        </w:tabs>
        <w:rPr>
          <w:rFonts w:ascii="Times New Roman" w:hAnsi="Times New Roman" w:cs="Times New Roman"/>
          <w:sz w:val="24"/>
          <w:szCs w:val="24"/>
        </w:rPr>
      </w:pPr>
      <w:r>
        <w:rPr>
          <w:rFonts w:ascii="Times New Roman" w:hAnsi="Times New Roman" w:cs="Times New Roman"/>
          <w:sz w:val="24"/>
          <w:szCs w:val="24"/>
        </w:rPr>
        <w:tab/>
      </w:r>
    </w:p>
    <w:p w14:paraId="6960BF14" w14:textId="77777777" w:rsidR="006B66A2" w:rsidRDefault="006B66A2"/>
    <w:sectPr w:rsidR="006B66A2" w:rsidSect="00AB596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1763A" w14:textId="77777777" w:rsidR="001B61D7" w:rsidRDefault="001B61D7">
      <w:pPr>
        <w:spacing w:after="0" w:line="240" w:lineRule="auto"/>
      </w:pPr>
      <w:r>
        <w:separator/>
      </w:r>
    </w:p>
  </w:endnote>
  <w:endnote w:type="continuationSeparator" w:id="0">
    <w:p w14:paraId="72E8C696" w14:textId="77777777" w:rsidR="001B61D7" w:rsidRDefault="001B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311557"/>
      <w:docPartObj>
        <w:docPartGallery w:val="Page Numbers (Bottom of Page)"/>
        <w:docPartUnique/>
      </w:docPartObj>
    </w:sdtPr>
    <w:sdtEndPr>
      <w:rPr>
        <w:noProof/>
      </w:rPr>
    </w:sdtEndPr>
    <w:sdtContent>
      <w:p w14:paraId="292DAA03" w14:textId="77777777" w:rsidR="002D12ED" w:rsidRDefault="00316C3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7DFEB43" w14:textId="77777777" w:rsidR="002D12ED" w:rsidRDefault="001B6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2C327" w14:textId="77777777" w:rsidR="001B61D7" w:rsidRDefault="001B61D7">
      <w:pPr>
        <w:spacing w:after="0" w:line="240" w:lineRule="auto"/>
      </w:pPr>
      <w:r>
        <w:separator/>
      </w:r>
    </w:p>
  </w:footnote>
  <w:footnote w:type="continuationSeparator" w:id="0">
    <w:p w14:paraId="3CD67ABC" w14:textId="77777777" w:rsidR="001B61D7" w:rsidRDefault="001B61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3B"/>
    <w:rsid w:val="001B61D7"/>
    <w:rsid w:val="00224433"/>
    <w:rsid w:val="00316C3B"/>
    <w:rsid w:val="006B66A2"/>
    <w:rsid w:val="00AA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4A2E"/>
  <w15:chartTrackingRefBased/>
  <w15:docId w15:val="{F48B6136-1417-4F3A-8D60-5BD9E3E5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6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1588</Words>
  <Characters>9056</Characters>
  <Application>Microsoft Office Word</Application>
  <DocSecurity>0</DocSecurity>
  <Lines>75</Lines>
  <Paragraphs>21</Paragraphs>
  <ScaleCrop>false</ScaleCrop>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Begli Nurmammedov</dc:creator>
  <cp:keywords/>
  <dc:description/>
  <cp:lastModifiedBy>Begli Nurmammedov</cp:lastModifiedBy>
  <cp:revision>2</cp:revision>
  <dcterms:created xsi:type="dcterms:W3CDTF">2020-09-07T07:02:00Z</dcterms:created>
  <dcterms:modified xsi:type="dcterms:W3CDTF">2020-09-07T08:26:00Z</dcterms:modified>
</cp:coreProperties>
</file>